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5C4B1" w14:textId="77777777" w:rsidR="00E065A9" w:rsidRPr="007F04DE" w:rsidRDefault="00E065A9" w:rsidP="00E065A9">
      <w:pPr>
        <w:contextualSpacing/>
        <w:jc w:val="center"/>
        <w:rPr>
          <w:rFonts w:ascii="Arial" w:hAnsi="Arial" w:cs="Arial"/>
          <w:b/>
          <w:bCs/>
          <w:sz w:val="28"/>
          <w:szCs w:val="28"/>
          <w:lang w:val="es-ES" w:eastAsia="ja-JP"/>
        </w:rPr>
      </w:pPr>
      <w:r w:rsidRPr="007F04DE">
        <w:rPr>
          <w:rFonts w:ascii="Arial" w:hAnsi="Arial" w:cs="Arial"/>
          <w:b/>
          <w:bCs/>
          <w:sz w:val="28"/>
          <w:szCs w:val="28"/>
          <w:lang w:val="es-ES" w:eastAsia="ja-JP"/>
        </w:rPr>
        <w:t>Apoyo técnico en el proceso de definición del programa de vivienda para arriendo en inmuebles de valor patrimonial en la ciudad de Quito - Contractual de Productos y Servicios Externos (PEC)</w:t>
      </w:r>
    </w:p>
    <w:p w14:paraId="2BF7677C" w14:textId="77777777" w:rsidR="00E065A9" w:rsidRPr="007F04DE" w:rsidRDefault="00E065A9" w:rsidP="00E065A9">
      <w:pPr>
        <w:contextualSpacing/>
        <w:jc w:val="center"/>
        <w:rPr>
          <w:rFonts w:ascii="Arial" w:hAnsi="Arial" w:cs="Arial"/>
          <w:b/>
          <w:bCs/>
          <w:sz w:val="28"/>
          <w:szCs w:val="28"/>
          <w:lang w:val="es-ES" w:eastAsia="ja-JP"/>
        </w:rPr>
      </w:pPr>
    </w:p>
    <w:p w14:paraId="4D49C7D4" w14:textId="77777777" w:rsidR="00E065A9" w:rsidRPr="007F04DE" w:rsidRDefault="00E065A9" w:rsidP="00E065A9">
      <w:pPr>
        <w:contextualSpacing/>
        <w:jc w:val="center"/>
        <w:rPr>
          <w:rFonts w:ascii="Arial" w:hAnsi="Arial" w:cs="Arial"/>
          <w:b/>
          <w:bCs/>
          <w:sz w:val="28"/>
          <w:szCs w:val="28"/>
          <w:lang w:val="es-ES" w:eastAsia="ja-JP"/>
        </w:rPr>
      </w:pPr>
      <w:r w:rsidRPr="007F04DE">
        <w:rPr>
          <w:rFonts w:ascii="Arial" w:hAnsi="Arial" w:cs="Arial"/>
          <w:b/>
          <w:bCs/>
          <w:sz w:val="28"/>
          <w:szCs w:val="28"/>
          <w:lang w:val="es-ES" w:eastAsia="ja-JP"/>
        </w:rPr>
        <w:t>Informe 1</w:t>
      </w:r>
    </w:p>
    <w:p w14:paraId="2283EA4E" w14:textId="77777777" w:rsidR="00E065A9" w:rsidRPr="007F04DE" w:rsidRDefault="00E065A9" w:rsidP="00E065A9">
      <w:pPr>
        <w:contextualSpacing/>
        <w:jc w:val="center"/>
        <w:rPr>
          <w:rFonts w:ascii="Arial" w:hAnsi="Arial" w:cs="Arial"/>
          <w:b/>
          <w:bCs/>
          <w:sz w:val="28"/>
          <w:szCs w:val="28"/>
          <w:lang w:val="es-ES" w:eastAsia="ja-JP"/>
        </w:rPr>
      </w:pPr>
    </w:p>
    <w:p w14:paraId="39C08775" w14:textId="77777777" w:rsidR="00E065A9" w:rsidRPr="007F04DE" w:rsidRDefault="00E065A9" w:rsidP="00E065A9">
      <w:pPr>
        <w:contextualSpacing/>
        <w:jc w:val="center"/>
        <w:rPr>
          <w:rFonts w:ascii="Arial" w:hAnsi="Arial" w:cs="Arial"/>
          <w:b/>
          <w:bCs/>
          <w:sz w:val="28"/>
          <w:szCs w:val="28"/>
          <w:lang w:val="es-ES" w:eastAsia="ja-JP"/>
        </w:rPr>
      </w:pPr>
      <w:r w:rsidRPr="007F04DE">
        <w:rPr>
          <w:rFonts w:ascii="Arial" w:hAnsi="Arial" w:cs="Arial"/>
          <w:b/>
          <w:bCs/>
          <w:sz w:val="28"/>
          <w:szCs w:val="28"/>
          <w:lang w:val="es-ES" w:eastAsia="ja-JP"/>
        </w:rPr>
        <w:t xml:space="preserve">Banco Interamericano de Desarrollo </w:t>
      </w:r>
    </w:p>
    <w:p w14:paraId="2A19542B" w14:textId="77777777" w:rsidR="00E065A9" w:rsidRPr="007F04DE" w:rsidRDefault="00E065A9" w:rsidP="00E065A9">
      <w:pPr>
        <w:contextualSpacing/>
        <w:jc w:val="center"/>
        <w:rPr>
          <w:rFonts w:ascii="Arial" w:hAnsi="Arial" w:cs="Arial"/>
          <w:b/>
          <w:bCs/>
          <w:sz w:val="28"/>
          <w:szCs w:val="28"/>
          <w:lang w:val="es-ES" w:eastAsia="ja-JP"/>
        </w:rPr>
      </w:pPr>
      <w:r w:rsidRPr="007F04DE">
        <w:rPr>
          <w:rFonts w:ascii="Arial" w:hAnsi="Arial" w:cs="Arial"/>
          <w:b/>
          <w:bCs/>
          <w:sz w:val="28"/>
          <w:szCs w:val="28"/>
          <w:lang w:val="es-ES" w:eastAsia="ja-JP"/>
        </w:rPr>
        <w:t>Instituto Metropolitano de Patrimonio (Quito, Ecuador)</w:t>
      </w:r>
    </w:p>
    <w:p w14:paraId="28BEC619" w14:textId="77777777" w:rsidR="00E065A9" w:rsidRPr="007F04DE" w:rsidRDefault="00E065A9" w:rsidP="00E065A9">
      <w:pPr>
        <w:contextualSpacing/>
        <w:jc w:val="center"/>
        <w:rPr>
          <w:rFonts w:ascii="Arial" w:hAnsi="Arial" w:cs="Arial"/>
          <w:b/>
          <w:bCs/>
          <w:sz w:val="28"/>
          <w:szCs w:val="28"/>
          <w:lang w:val="es-ES" w:eastAsia="ja-JP"/>
        </w:rPr>
      </w:pPr>
    </w:p>
    <w:p w14:paraId="39C263B5" w14:textId="77777777" w:rsidR="00E065A9" w:rsidRPr="007F04DE" w:rsidRDefault="00E065A9" w:rsidP="00E065A9">
      <w:pPr>
        <w:contextualSpacing/>
        <w:jc w:val="center"/>
        <w:rPr>
          <w:rFonts w:ascii="Arial" w:hAnsi="Arial" w:cs="Arial"/>
          <w:b/>
          <w:bCs/>
          <w:sz w:val="28"/>
          <w:szCs w:val="28"/>
          <w:lang w:val="es-ES" w:eastAsia="ja-JP"/>
        </w:rPr>
      </w:pPr>
    </w:p>
    <w:p w14:paraId="7177DA30" w14:textId="77777777" w:rsidR="00E065A9" w:rsidRPr="007F04DE" w:rsidRDefault="00E065A9" w:rsidP="00E065A9">
      <w:pPr>
        <w:contextualSpacing/>
        <w:jc w:val="center"/>
        <w:rPr>
          <w:rFonts w:ascii="Arial" w:hAnsi="Arial" w:cs="Arial"/>
          <w:b/>
          <w:bCs/>
          <w:sz w:val="28"/>
          <w:szCs w:val="28"/>
          <w:lang w:val="es-ES" w:eastAsia="ja-JP"/>
        </w:rPr>
      </w:pPr>
    </w:p>
    <w:p w14:paraId="1DFA4F90" w14:textId="157E1505" w:rsidR="00E065A9" w:rsidRPr="007F04DE" w:rsidRDefault="00E065A9" w:rsidP="00E065A9">
      <w:pPr>
        <w:contextualSpacing/>
        <w:jc w:val="center"/>
        <w:rPr>
          <w:rFonts w:ascii="Arial" w:hAnsi="Arial" w:cs="Arial"/>
          <w:b/>
          <w:bCs/>
          <w:sz w:val="28"/>
          <w:szCs w:val="28"/>
          <w:lang w:val="es-ES" w:eastAsia="ja-JP"/>
        </w:rPr>
      </w:pPr>
      <w:r w:rsidRPr="007F04DE">
        <w:rPr>
          <w:rFonts w:ascii="Arial" w:hAnsi="Arial" w:cs="Arial"/>
          <w:b/>
          <w:bCs/>
          <w:sz w:val="28"/>
          <w:szCs w:val="28"/>
          <w:lang w:val="es-ES" w:eastAsia="ja-JP"/>
        </w:rPr>
        <w:t xml:space="preserve">Componente </w:t>
      </w:r>
      <w:r w:rsidR="0072767C" w:rsidRPr="007F04DE">
        <w:rPr>
          <w:rFonts w:ascii="Arial" w:hAnsi="Arial" w:cs="Arial"/>
          <w:b/>
          <w:bCs/>
          <w:sz w:val="28"/>
          <w:szCs w:val="28"/>
          <w:lang w:val="es-ES" w:eastAsia="ja-JP"/>
        </w:rPr>
        <w:t>1.2. Documento de resultado del análisis de la calidad y pertinencia de las propuestas de vivienda del Plan CHQ</w:t>
      </w:r>
    </w:p>
    <w:p w14:paraId="26CAFEFC" w14:textId="77777777" w:rsidR="00E065A9" w:rsidRPr="007F04DE" w:rsidRDefault="00E065A9" w:rsidP="00E00AC8">
      <w:pPr>
        <w:contextualSpacing/>
        <w:jc w:val="center"/>
        <w:rPr>
          <w:rFonts w:ascii="Arial" w:hAnsi="Arial" w:cs="Arial"/>
          <w:i/>
          <w:iCs/>
          <w:sz w:val="28"/>
          <w:szCs w:val="28"/>
          <w:lang w:val="es-ES" w:eastAsia="ja-JP"/>
        </w:rPr>
      </w:pPr>
    </w:p>
    <w:p w14:paraId="54A4E1D0" w14:textId="77777777" w:rsidR="006C4E66" w:rsidRPr="007F04DE" w:rsidRDefault="006C4E66" w:rsidP="00E00AC8">
      <w:pPr>
        <w:jc w:val="center"/>
        <w:rPr>
          <w:lang w:val="es-ES"/>
        </w:rPr>
      </w:pPr>
    </w:p>
    <w:p w14:paraId="5477C15A" w14:textId="77777777" w:rsidR="00E00AC8" w:rsidRPr="007F04DE" w:rsidRDefault="00E00AC8" w:rsidP="00E00AC8">
      <w:pPr>
        <w:jc w:val="center"/>
        <w:rPr>
          <w:lang w:val="es-ES"/>
        </w:rPr>
      </w:pPr>
    </w:p>
    <w:p w14:paraId="11417CE7" w14:textId="77777777" w:rsidR="00E00AC8" w:rsidRPr="007F04DE" w:rsidRDefault="00E00AC8" w:rsidP="00E00AC8">
      <w:pPr>
        <w:jc w:val="center"/>
        <w:rPr>
          <w:lang w:val="es-ES"/>
        </w:rPr>
      </w:pPr>
    </w:p>
    <w:p w14:paraId="18617047" w14:textId="77777777" w:rsidR="0072767C" w:rsidRPr="007F04DE" w:rsidRDefault="0072767C" w:rsidP="00E00AC8">
      <w:pPr>
        <w:pStyle w:val="Normal1"/>
        <w:jc w:val="center"/>
        <w:rPr>
          <w:rFonts w:ascii="Arial" w:eastAsia="Arial" w:hAnsi="Arial" w:cs="Arial"/>
          <w:lang w:val="es-ES"/>
        </w:rPr>
      </w:pPr>
      <w:r w:rsidRPr="007F04DE">
        <w:rPr>
          <w:rFonts w:ascii="Arial" w:eastAsia="Arial" w:hAnsi="Arial" w:cs="Arial"/>
          <w:lang w:val="es-ES"/>
        </w:rPr>
        <w:t>Consultor: Guido Borasino Sambrailo</w:t>
      </w:r>
    </w:p>
    <w:p w14:paraId="6D1D1CC5" w14:textId="2D1D841B" w:rsidR="0072767C" w:rsidRPr="007F04DE" w:rsidRDefault="0072767C" w:rsidP="00E00AC8">
      <w:pPr>
        <w:pStyle w:val="Normal1"/>
        <w:jc w:val="center"/>
        <w:rPr>
          <w:rFonts w:ascii="Arial" w:eastAsia="Arial" w:hAnsi="Arial" w:cs="Arial"/>
          <w:lang w:val="es-ES"/>
        </w:rPr>
      </w:pPr>
      <w:r w:rsidRPr="007F04DE">
        <w:rPr>
          <w:rFonts w:ascii="Arial" w:eastAsia="Arial" w:hAnsi="Arial" w:cs="Arial"/>
          <w:lang w:val="es-ES"/>
        </w:rPr>
        <w:t>Contacto: (</w:t>
      </w:r>
      <w:bookmarkStart w:id="0" w:name="_GoBack"/>
      <w:bookmarkEnd w:id="0"/>
      <w:r w:rsidR="004A55BB">
        <w:rPr>
          <w:rFonts w:ascii="Arial" w:eastAsia="Arial" w:hAnsi="Arial" w:cs="Arial"/>
          <w:color w:val="0000FF"/>
          <w:u w:val="single"/>
          <w:lang w:val="es-ES"/>
        </w:rPr>
        <w:fldChar w:fldCharType="begin"/>
      </w:r>
      <w:r w:rsidR="004A55BB">
        <w:rPr>
          <w:rFonts w:ascii="Arial" w:eastAsia="Arial" w:hAnsi="Arial" w:cs="Arial"/>
          <w:color w:val="0000FF"/>
          <w:u w:val="single"/>
          <w:lang w:val="es-ES"/>
        </w:rPr>
        <w:instrText xml:space="preserve"> HYPERLINK "mailto:guido.borasino@pucp</w:instrText>
      </w:r>
      <w:r w:rsidR="004A55BB" w:rsidRPr="007F04DE">
        <w:rPr>
          <w:rFonts w:ascii="Arial" w:eastAsia="Arial" w:hAnsi="Arial" w:cs="Arial"/>
          <w:color w:val="0000FF"/>
          <w:u w:val="single"/>
          <w:lang w:val="es-ES"/>
        </w:rPr>
        <w:instrText>.pe</w:instrText>
      </w:r>
      <w:r w:rsidR="004A55BB">
        <w:rPr>
          <w:rFonts w:ascii="Arial" w:eastAsia="Arial" w:hAnsi="Arial" w:cs="Arial"/>
          <w:color w:val="0000FF"/>
          <w:u w:val="single"/>
          <w:lang w:val="es-ES"/>
        </w:rPr>
        <w:instrText xml:space="preserve">" </w:instrText>
      </w:r>
      <w:r w:rsidR="004A55BB">
        <w:rPr>
          <w:rFonts w:ascii="Arial" w:eastAsia="Arial" w:hAnsi="Arial" w:cs="Arial"/>
          <w:color w:val="0000FF"/>
          <w:u w:val="single"/>
          <w:lang w:val="es-ES"/>
        </w:rPr>
        <w:fldChar w:fldCharType="separate"/>
      </w:r>
      <w:r w:rsidR="004A55BB" w:rsidRPr="005F391D">
        <w:rPr>
          <w:rStyle w:val="Hipervnculo"/>
          <w:rFonts w:ascii="Arial" w:eastAsia="Arial" w:hAnsi="Arial" w:cs="Arial"/>
          <w:lang w:val="es-ES"/>
        </w:rPr>
        <w:t>guido.borasino@pucp.pe</w:t>
      </w:r>
      <w:r w:rsidR="004A55BB">
        <w:rPr>
          <w:rFonts w:ascii="Arial" w:eastAsia="Arial" w:hAnsi="Arial" w:cs="Arial"/>
          <w:color w:val="0000FF"/>
          <w:u w:val="single"/>
          <w:lang w:val="es-ES"/>
        </w:rPr>
        <w:fldChar w:fldCharType="end"/>
      </w:r>
      <w:r w:rsidRPr="007F04DE">
        <w:rPr>
          <w:rFonts w:ascii="Arial" w:eastAsia="Arial" w:hAnsi="Arial" w:cs="Arial"/>
          <w:lang w:val="es-ES"/>
        </w:rPr>
        <w:t>)</w:t>
      </w:r>
    </w:p>
    <w:p w14:paraId="10E5AEA0" w14:textId="77777777" w:rsidR="0072767C" w:rsidRPr="007F04DE" w:rsidRDefault="0072767C">
      <w:pPr>
        <w:rPr>
          <w:lang w:val="es-ES"/>
        </w:rPr>
      </w:pPr>
    </w:p>
    <w:p w14:paraId="5668E9BE" w14:textId="77777777" w:rsidR="00E00AC8" w:rsidRPr="007F04DE" w:rsidRDefault="00E00AC8">
      <w:pPr>
        <w:rPr>
          <w:lang w:val="es-ES"/>
        </w:rPr>
      </w:pPr>
    </w:p>
    <w:p w14:paraId="11DC1204" w14:textId="77777777" w:rsidR="00E00AC8" w:rsidRPr="007F04DE" w:rsidRDefault="00E00AC8">
      <w:pPr>
        <w:rPr>
          <w:lang w:val="es-ES"/>
        </w:rPr>
      </w:pPr>
    </w:p>
    <w:p w14:paraId="42ABDDD3" w14:textId="77777777" w:rsidR="00E00AC8" w:rsidRPr="007F04DE" w:rsidRDefault="00E00AC8">
      <w:pPr>
        <w:rPr>
          <w:lang w:val="es-ES"/>
        </w:rPr>
      </w:pPr>
    </w:p>
    <w:p w14:paraId="5669AE3C" w14:textId="77777777" w:rsidR="00E00AC8" w:rsidRPr="007F04DE" w:rsidRDefault="00E00AC8">
      <w:pPr>
        <w:rPr>
          <w:lang w:val="es-ES"/>
        </w:rPr>
      </w:pPr>
    </w:p>
    <w:p w14:paraId="2F4E11AF" w14:textId="77777777" w:rsidR="00E00AC8" w:rsidRPr="007F04DE" w:rsidRDefault="00E00AC8">
      <w:pPr>
        <w:rPr>
          <w:lang w:val="es-ES"/>
        </w:rPr>
      </w:pPr>
    </w:p>
    <w:p w14:paraId="610930E7" w14:textId="77777777" w:rsidR="00E00AC8" w:rsidRPr="007F04DE" w:rsidRDefault="00E00AC8">
      <w:pPr>
        <w:rPr>
          <w:lang w:val="es-ES"/>
        </w:rPr>
      </w:pPr>
    </w:p>
    <w:p w14:paraId="38A5EEF3" w14:textId="77777777" w:rsidR="00E00AC8" w:rsidRPr="007F04DE" w:rsidRDefault="00E00AC8">
      <w:pPr>
        <w:rPr>
          <w:lang w:val="es-ES"/>
        </w:rPr>
      </w:pPr>
    </w:p>
    <w:p w14:paraId="50CCC2BB" w14:textId="77777777" w:rsidR="00E00AC8" w:rsidRPr="007F04DE" w:rsidRDefault="00E00AC8">
      <w:pPr>
        <w:rPr>
          <w:lang w:val="es-ES"/>
        </w:rPr>
      </w:pPr>
    </w:p>
    <w:p w14:paraId="5A5773B2" w14:textId="77777777" w:rsidR="00E00AC8" w:rsidRPr="007F04DE" w:rsidRDefault="00E00AC8">
      <w:pPr>
        <w:rPr>
          <w:lang w:val="es-ES"/>
        </w:rPr>
      </w:pPr>
    </w:p>
    <w:p w14:paraId="67FE65DA" w14:textId="77777777" w:rsidR="00E00AC8" w:rsidRPr="007F04DE" w:rsidRDefault="00E00AC8">
      <w:pPr>
        <w:rPr>
          <w:lang w:val="es-ES"/>
        </w:rPr>
      </w:pPr>
    </w:p>
    <w:p w14:paraId="25965582" w14:textId="77777777" w:rsidR="00E00AC8" w:rsidRPr="007F04DE" w:rsidRDefault="00E00AC8">
      <w:pPr>
        <w:rPr>
          <w:lang w:val="es-ES"/>
        </w:rPr>
      </w:pPr>
    </w:p>
    <w:p w14:paraId="135B12A1" w14:textId="77777777" w:rsidR="00E00AC8" w:rsidRPr="007F04DE" w:rsidRDefault="00E00AC8">
      <w:pPr>
        <w:rPr>
          <w:lang w:val="es-ES"/>
        </w:rPr>
      </w:pPr>
    </w:p>
    <w:p w14:paraId="27E65905" w14:textId="77777777" w:rsidR="00E00AC8" w:rsidRPr="007F04DE" w:rsidRDefault="00E00AC8">
      <w:pPr>
        <w:rPr>
          <w:lang w:val="es-ES"/>
        </w:rPr>
      </w:pPr>
    </w:p>
    <w:p w14:paraId="4AF1E6F0" w14:textId="77777777" w:rsidR="00E00AC8" w:rsidRPr="007F04DE" w:rsidRDefault="00E00AC8">
      <w:pPr>
        <w:rPr>
          <w:lang w:val="es-ES"/>
        </w:rPr>
      </w:pPr>
    </w:p>
    <w:p w14:paraId="3D356206" w14:textId="77777777" w:rsidR="00E00AC8" w:rsidRPr="007F04DE" w:rsidRDefault="00E00AC8">
      <w:pPr>
        <w:rPr>
          <w:lang w:val="es-ES"/>
        </w:rPr>
      </w:pPr>
    </w:p>
    <w:p w14:paraId="43FE5C0B" w14:textId="77777777" w:rsidR="00E00AC8" w:rsidRPr="007F04DE" w:rsidRDefault="00E00AC8">
      <w:pPr>
        <w:rPr>
          <w:lang w:val="es-ES"/>
        </w:rPr>
      </w:pPr>
    </w:p>
    <w:p w14:paraId="101DE000" w14:textId="77777777" w:rsidR="00E00AC8" w:rsidRPr="007F04DE" w:rsidRDefault="00E00AC8">
      <w:pPr>
        <w:rPr>
          <w:lang w:val="es-ES"/>
        </w:rPr>
      </w:pPr>
    </w:p>
    <w:p w14:paraId="652716D8" w14:textId="77777777" w:rsidR="00E00AC8" w:rsidRPr="007F04DE" w:rsidRDefault="00E00AC8">
      <w:pPr>
        <w:rPr>
          <w:lang w:val="es-ES"/>
        </w:rPr>
      </w:pPr>
    </w:p>
    <w:p w14:paraId="27A45B2D" w14:textId="77777777" w:rsidR="00E00AC8" w:rsidRPr="007F04DE" w:rsidRDefault="00E00AC8">
      <w:pPr>
        <w:rPr>
          <w:lang w:val="es-ES"/>
        </w:rPr>
      </w:pPr>
    </w:p>
    <w:p w14:paraId="674A86BE" w14:textId="77777777" w:rsidR="00E00AC8" w:rsidRPr="007F04DE" w:rsidRDefault="00E00AC8">
      <w:pPr>
        <w:rPr>
          <w:lang w:val="es-ES"/>
        </w:rPr>
      </w:pPr>
    </w:p>
    <w:p w14:paraId="3120061C" w14:textId="77777777" w:rsidR="00E00AC8" w:rsidRPr="007F04DE" w:rsidRDefault="00E00AC8">
      <w:pPr>
        <w:rPr>
          <w:lang w:val="es-ES"/>
        </w:rPr>
      </w:pPr>
    </w:p>
    <w:p w14:paraId="349726E8" w14:textId="77777777" w:rsidR="00E00AC8" w:rsidRPr="007F04DE" w:rsidRDefault="00E00AC8">
      <w:pPr>
        <w:rPr>
          <w:lang w:val="es-ES"/>
        </w:rPr>
      </w:pPr>
    </w:p>
    <w:p w14:paraId="25BC57BE" w14:textId="77777777" w:rsidR="00E00AC8" w:rsidRPr="007F04DE" w:rsidRDefault="00E00AC8">
      <w:pPr>
        <w:rPr>
          <w:lang w:val="es-ES"/>
        </w:rPr>
      </w:pPr>
    </w:p>
    <w:p w14:paraId="457ED61C" w14:textId="77777777" w:rsidR="00E00AC8" w:rsidRPr="007F04DE" w:rsidRDefault="00E00AC8">
      <w:pPr>
        <w:rPr>
          <w:lang w:val="es-ES"/>
        </w:rPr>
      </w:pPr>
    </w:p>
    <w:p w14:paraId="2DE8D1F4" w14:textId="77777777" w:rsidR="00E00AC8" w:rsidRPr="007F04DE" w:rsidRDefault="00E00AC8">
      <w:pPr>
        <w:rPr>
          <w:lang w:val="es-ES"/>
        </w:rPr>
      </w:pPr>
    </w:p>
    <w:p w14:paraId="57CB590D" w14:textId="77777777" w:rsidR="00E00AC8" w:rsidRPr="007F04DE" w:rsidRDefault="00E00AC8">
      <w:pPr>
        <w:rPr>
          <w:lang w:val="es-ES"/>
        </w:rPr>
      </w:pPr>
    </w:p>
    <w:p w14:paraId="2F2438A4" w14:textId="77777777" w:rsidR="00E00AC8" w:rsidRPr="007F04DE" w:rsidRDefault="00E00AC8">
      <w:pPr>
        <w:rPr>
          <w:lang w:val="es-ES"/>
        </w:rPr>
      </w:pPr>
    </w:p>
    <w:p w14:paraId="1B9DBB28" w14:textId="77777777" w:rsidR="00E00AC8" w:rsidRPr="007F04DE" w:rsidRDefault="00E00AC8">
      <w:pPr>
        <w:rPr>
          <w:lang w:val="es-ES"/>
        </w:rPr>
      </w:pPr>
    </w:p>
    <w:p w14:paraId="0D219D44" w14:textId="77777777" w:rsidR="00E00AC8" w:rsidRPr="007F04DE" w:rsidRDefault="00E00AC8">
      <w:pPr>
        <w:rPr>
          <w:lang w:val="es-ES"/>
        </w:rPr>
      </w:pPr>
    </w:p>
    <w:p w14:paraId="5D9AE1DD" w14:textId="77777777" w:rsidR="00E00AC8" w:rsidRPr="007F04DE" w:rsidRDefault="00E00AC8">
      <w:pPr>
        <w:rPr>
          <w:lang w:val="es-ES"/>
        </w:rPr>
      </w:pPr>
    </w:p>
    <w:p w14:paraId="19D7C2EA" w14:textId="77777777" w:rsidR="00E00AC8" w:rsidRPr="007F04DE" w:rsidRDefault="00E00AC8" w:rsidP="00E00AC8">
      <w:pPr>
        <w:pStyle w:val="Normal1"/>
        <w:jc w:val="center"/>
        <w:rPr>
          <w:rFonts w:ascii="Arial" w:eastAsia="Arial" w:hAnsi="Arial" w:cs="Arial"/>
          <w:lang w:val="es-ES"/>
        </w:rPr>
      </w:pPr>
      <w:r w:rsidRPr="007F04DE">
        <w:rPr>
          <w:rFonts w:ascii="Arial" w:eastAsia="Arial" w:hAnsi="Arial" w:cs="Arial"/>
          <w:lang w:val="es-ES"/>
        </w:rPr>
        <w:t>Junio, 2018</w:t>
      </w:r>
    </w:p>
    <w:p w14:paraId="5D24D757" w14:textId="1C809F9D" w:rsidR="001D2859" w:rsidRPr="007F04DE" w:rsidRDefault="00426413" w:rsidP="0058543A">
      <w:pPr>
        <w:rPr>
          <w:rFonts w:ascii="Arial" w:eastAsia="Arial" w:hAnsi="Arial" w:cs="Arial"/>
          <w:b/>
          <w:sz w:val="22"/>
          <w:szCs w:val="22"/>
          <w:u w:val="single"/>
          <w:lang w:val="es-ES"/>
        </w:rPr>
      </w:pPr>
      <w:r w:rsidRPr="007F04DE">
        <w:rPr>
          <w:rFonts w:ascii="Arial" w:eastAsia="Arial" w:hAnsi="Arial" w:cs="Arial"/>
          <w:b/>
          <w:sz w:val="22"/>
          <w:szCs w:val="22"/>
          <w:u w:val="single"/>
          <w:lang w:val="es-ES"/>
        </w:rPr>
        <w:lastRenderedPageBreak/>
        <w:t>Tabla de Contenido</w:t>
      </w:r>
    </w:p>
    <w:p w14:paraId="69D00C41" w14:textId="65C53247" w:rsidR="00426413" w:rsidRPr="007F04DE" w:rsidRDefault="00426413">
      <w:pPr>
        <w:pStyle w:val="TDC1"/>
        <w:tabs>
          <w:tab w:val="left" w:pos="600"/>
          <w:tab w:val="right" w:leader="dot" w:pos="8488"/>
        </w:tabs>
        <w:rPr>
          <w:rFonts w:eastAsiaTheme="minorEastAsia" w:cs="Arial"/>
          <w:b w:val="0"/>
          <w:bCs w:val="0"/>
          <w:caps w:val="0"/>
          <w:noProof/>
          <w:szCs w:val="22"/>
          <w:lang w:val="es-ES" w:eastAsia="es-ES_tradnl"/>
        </w:rPr>
      </w:pPr>
      <w:r w:rsidRPr="007F04DE">
        <w:rPr>
          <w:rFonts w:eastAsia="Arial" w:cs="Arial"/>
          <w:b w:val="0"/>
          <w:bCs w:val="0"/>
          <w:caps w:val="0"/>
          <w:szCs w:val="22"/>
          <w:lang w:val="es-ES"/>
        </w:rPr>
        <w:fldChar w:fldCharType="begin"/>
      </w:r>
      <w:r w:rsidRPr="007F04DE">
        <w:rPr>
          <w:rFonts w:eastAsia="Arial" w:cs="Arial"/>
          <w:b w:val="0"/>
          <w:bCs w:val="0"/>
          <w:caps w:val="0"/>
          <w:szCs w:val="22"/>
          <w:lang w:val="es-ES"/>
        </w:rPr>
        <w:instrText xml:space="preserve"> TOC \h \z \t "Estilo1,1,2.1. Análisis de la Estrategia - Proyecto,2,2.1.1.,3" </w:instrText>
      </w:r>
      <w:r w:rsidRPr="007F04DE">
        <w:rPr>
          <w:rFonts w:eastAsia="Arial" w:cs="Arial"/>
          <w:b w:val="0"/>
          <w:bCs w:val="0"/>
          <w:caps w:val="0"/>
          <w:szCs w:val="22"/>
          <w:lang w:val="es-ES"/>
        </w:rPr>
        <w:fldChar w:fldCharType="separate"/>
      </w:r>
      <w:hyperlink w:anchor="_Toc526369787" w:history="1">
        <w:r w:rsidRPr="007F04DE">
          <w:rPr>
            <w:rStyle w:val="Hipervnculo"/>
            <w:rFonts w:cs="Arial"/>
            <w:noProof/>
            <w:szCs w:val="22"/>
            <w:lang w:val="es-ES"/>
          </w:rPr>
          <w:t>1.</w:t>
        </w:r>
        <w:r w:rsidRPr="007F04DE">
          <w:rPr>
            <w:rFonts w:eastAsiaTheme="minorEastAsia" w:cs="Arial"/>
            <w:b w:val="0"/>
            <w:bCs w:val="0"/>
            <w:caps w:val="0"/>
            <w:noProof/>
            <w:szCs w:val="22"/>
            <w:lang w:val="es-ES" w:eastAsia="es-ES_tradnl"/>
          </w:rPr>
          <w:tab/>
        </w:r>
        <w:r w:rsidRPr="007F04DE">
          <w:rPr>
            <w:rStyle w:val="Hipervnculo"/>
            <w:rFonts w:cs="Arial"/>
            <w:noProof/>
            <w:szCs w:val="22"/>
            <w:lang w:val="es-ES"/>
          </w:rPr>
          <w:t>Presentación</w:t>
        </w:r>
        <w:r w:rsidRPr="007F04DE">
          <w:rPr>
            <w:rFonts w:cs="Arial"/>
            <w:noProof/>
            <w:webHidden/>
            <w:szCs w:val="22"/>
            <w:lang w:val="es-ES"/>
          </w:rPr>
          <w:tab/>
        </w:r>
        <w:r w:rsidRPr="007F04DE">
          <w:rPr>
            <w:rFonts w:cs="Arial"/>
            <w:noProof/>
            <w:webHidden/>
            <w:szCs w:val="22"/>
            <w:lang w:val="es-ES"/>
          </w:rPr>
          <w:fldChar w:fldCharType="begin"/>
        </w:r>
        <w:r w:rsidRPr="007F04DE">
          <w:rPr>
            <w:rFonts w:cs="Arial"/>
            <w:noProof/>
            <w:webHidden/>
            <w:szCs w:val="22"/>
            <w:lang w:val="es-ES"/>
          </w:rPr>
          <w:instrText xml:space="preserve"> PAGEREF _Toc526369787 \h </w:instrText>
        </w:r>
        <w:r w:rsidRPr="007F04DE">
          <w:rPr>
            <w:rFonts w:cs="Arial"/>
            <w:noProof/>
            <w:webHidden/>
            <w:szCs w:val="22"/>
            <w:lang w:val="es-ES"/>
          </w:rPr>
        </w:r>
        <w:r w:rsidRPr="007F04DE">
          <w:rPr>
            <w:rFonts w:cs="Arial"/>
            <w:noProof/>
            <w:webHidden/>
            <w:szCs w:val="22"/>
            <w:lang w:val="es-ES"/>
          </w:rPr>
          <w:fldChar w:fldCharType="separate"/>
        </w:r>
        <w:r w:rsidRPr="007F04DE">
          <w:rPr>
            <w:rFonts w:cs="Arial"/>
            <w:noProof/>
            <w:webHidden/>
            <w:szCs w:val="22"/>
            <w:lang w:val="es-ES"/>
          </w:rPr>
          <w:t>3</w:t>
        </w:r>
        <w:r w:rsidRPr="007F04DE">
          <w:rPr>
            <w:rFonts w:cs="Arial"/>
            <w:noProof/>
            <w:webHidden/>
            <w:szCs w:val="22"/>
            <w:lang w:val="es-ES"/>
          </w:rPr>
          <w:fldChar w:fldCharType="end"/>
        </w:r>
      </w:hyperlink>
    </w:p>
    <w:p w14:paraId="6D72F7A5" w14:textId="5E779E3C" w:rsidR="00426413" w:rsidRPr="007F04DE" w:rsidRDefault="004C38F7">
      <w:pPr>
        <w:pStyle w:val="TDC1"/>
        <w:tabs>
          <w:tab w:val="left" w:pos="600"/>
          <w:tab w:val="right" w:leader="dot" w:pos="8488"/>
        </w:tabs>
        <w:rPr>
          <w:rFonts w:eastAsiaTheme="minorEastAsia" w:cs="Arial"/>
          <w:b w:val="0"/>
          <w:bCs w:val="0"/>
          <w:caps w:val="0"/>
          <w:noProof/>
          <w:szCs w:val="22"/>
          <w:lang w:val="es-ES" w:eastAsia="es-ES_tradnl"/>
        </w:rPr>
      </w:pPr>
      <w:hyperlink w:anchor="_Toc526369788" w:history="1">
        <w:r w:rsidR="00426413" w:rsidRPr="007F04DE">
          <w:rPr>
            <w:rStyle w:val="Hipervnculo"/>
            <w:rFonts w:cs="Arial"/>
            <w:noProof/>
            <w:szCs w:val="22"/>
            <w:lang w:val="es-ES"/>
          </w:rPr>
          <w:t>2.</w:t>
        </w:r>
        <w:r w:rsidR="00426413" w:rsidRPr="007F04DE">
          <w:rPr>
            <w:rFonts w:eastAsiaTheme="minorEastAsia" w:cs="Arial"/>
            <w:b w:val="0"/>
            <w:bCs w:val="0"/>
            <w:caps w:val="0"/>
            <w:noProof/>
            <w:szCs w:val="22"/>
            <w:lang w:val="es-ES" w:eastAsia="es-ES_tradnl"/>
          </w:rPr>
          <w:tab/>
        </w:r>
        <w:r w:rsidR="00426413" w:rsidRPr="007F04DE">
          <w:rPr>
            <w:rStyle w:val="Hipervnculo"/>
            <w:rFonts w:cs="Arial"/>
            <w:noProof/>
            <w:szCs w:val="22"/>
            <w:lang w:val="es-ES"/>
          </w:rPr>
          <w:t>Análisis de las propuestas de vivienda del PCHQ</w:t>
        </w:r>
        <w:r w:rsidR="00426413" w:rsidRPr="007F04DE">
          <w:rPr>
            <w:rFonts w:cs="Arial"/>
            <w:noProof/>
            <w:webHidden/>
            <w:szCs w:val="22"/>
            <w:lang w:val="es-ES"/>
          </w:rPr>
          <w:tab/>
        </w:r>
        <w:r w:rsidR="00426413" w:rsidRPr="007F04DE">
          <w:rPr>
            <w:rFonts w:cs="Arial"/>
            <w:noProof/>
            <w:webHidden/>
            <w:szCs w:val="22"/>
            <w:lang w:val="es-ES"/>
          </w:rPr>
          <w:fldChar w:fldCharType="begin"/>
        </w:r>
        <w:r w:rsidR="00426413" w:rsidRPr="007F04DE">
          <w:rPr>
            <w:rFonts w:cs="Arial"/>
            <w:noProof/>
            <w:webHidden/>
            <w:szCs w:val="22"/>
            <w:lang w:val="es-ES"/>
          </w:rPr>
          <w:instrText xml:space="preserve"> PAGEREF _Toc526369788 \h </w:instrText>
        </w:r>
        <w:r w:rsidR="00426413" w:rsidRPr="007F04DE">
          <w:rPr>
            <w:rFonts w:cs="Arial"/>
            <w:noProof/>
            <w:webHidden/>
            <w:szCs w:val="22"/>
            <w:lang w:val="es-ES"/>
          </w:rPr>
        </w:r>
        <w:r w:rsidR="00426413" w:rsidRPr="007F04DE">
          <w:rPr>
            <w:rFonts w:cs="Arial"/>
            <w:noProof/>
            <w:webHidden/>
            <w:szCs w:val="22"/>
            <w:lang w:val="es-ES"/>
          </w:rPr>
          <w:fldChar w:fldCharType="separate"/>
        </w:r>
        <w:r w:rsidR="00426413" w:rsidRPr="007F04DE">
          <w:rPr>
            <w:rFonts w:cs="Arial"/>
            <w:noProof/>
            <w:webHidden/>
            <w:szCs w:val="22"/>
            <w:lang w:val="es-ES"/>
          </w:rPr>
          <w:t>3</w:t>
        </w:r>
        <w:r w:rsidR="00426413" w:rsidRPr="007F04DE">
          <w:rPr>
            <w:rFonts w:cs="Arial"/>
            <w:noProof/>
            <w:webHidden/>
            <w:szCs w:val="22"/>
            <w:lang w:val="es-ES"/>
          </w:rPr>
          <w:fldChar w:fldCharType="end"/>
        </w:r>
      </w:hyperlink>
    </w:p>
    <w:p w14:paraId="6E937391" w14:textId="36D44378" w:rsidR="00426413" w:rsidRPr="007F04DE" w:rsidRDefault="004C38F7">
      <w:pPr>
        <w:pStyle w:val="TDC2"/>
        <w:tabs>
          <w:tab w:val="left" w:pos="600"/>
          <w:tab w:val="right" w:leader="dot" w:pos="8488"/>
        </w:tabs>
        <w:rPr>
          <w:rFonts w:ascii="Arial" w:eastAsiaTheme="minorEastAsia" w:hAnsi="Arial" w:cs="Arial"/>
          <w:b w:val="0"/>
          <w:bCs w:val="0"/>
          <w:noProof/>
          <w:sz w:val="22"/>
          <w:szCs w:val="22"/>
          <w:lang w:val="es-ES" w:eastAsia="es-ES_tradnl"/>
        </w:rPr>
      </w:pPr>
      <w:hyperlink w:anchor="_Toc526369789" w:history="1">
        <w:r w:rsidR="00426413" w:rsidRPr="007F04DE">
          <w:rPr>
            <w:rStyle w:val="Hipervnculo"/>
            <w:rFonts w:ascii="Arial" w:hAnsi="Arial" w:cs="Arial"/>
            <w:noProof/>
            <w:sz w:val="22"/>
            <w:szCs w:val="22"/>
            <w:lang w:val="es-ES"/>
          </w:rPr>
          <w:t>2.1.</w:t>
        </w:r>
        <w:r w:rsidR="00426413" w:rsidRPr="007F04DE">
          <w:rPr>
            <w:rFonts w:ascii="Arial" w:eastAsiaTheme="minorEastAsia" w:hAnsi="Arial" w:cs="Arial"/>
            <w:b w:val="0"/>
            <w:bCs w:val="0"/>
            <w:noProof/>
            <w:sz w:val="22"/>
            <w:szCs w:val="22"/>
            <w:lang w:val="es-ES" w:eastAsia="es-ES_tradnl"/>
          </w:rPr>
          <w:tab/>
        </w:r>
        <w:r w:rsidR="00426413" w:rsidRPr="007F04DE">
          <w:rPr>
            <w:rStyle w:val="Hipervnculo"/>
            <w:rFonts w:ascii="Arial" w:hAnsi="Arial" w:cs="Arial"/>
            <w:noProof/>
            <w:sz w:val="22"/>
            <w:szCs w:val="22"/>
            <w:lang w:val="es-ES"/>
          </w:rPr>
          <w:t>Análisis del Eje 5/Estrategia 1</w:t>
        </w:r>
        <w:r w:rsidR="00426413" w:rsidRPr="007F04DE">
          <w:rPr>
            <w:rFonts w:ascii="Arial" w:hAnsi="Arial" w:cs="Arial"/>
            <w:noProof/>
            <w:webHidden/>
            <w:sz w:val="22"/>
            <w:szCs w:val="22"/>
            <w:lang w:val="es-ES"/>
          </w:rPr>
          <w:tab/>
        </w:r>
        <w:r w:rsidR="00426413" w:rsidRPr="007F04DE">
          <w:rPr>
            <w:rFonts w:ascii="Arial" w:hAnsi="Arial" w:cs="Arial"/>
            <w:noProof/>
            <w:webHidden/>
            <w:sz w:val="22"/>
            <w:szCs w:val="22"/>
            <w:lang w:val="es-ES"/>
          </w:rPr>
          <w:fldChar w:fldCharType="begin"/>
        </w:r>
        <w:r w:rsidR="00426413" w:rsidRPr="007F04DE">
          <w:rPr>
            <w:rFonts w:ascii="Arial" w:hAnsi="Arial" w:cs="Arial"/>
            <w:noProof/>
            <w:webHidden/>
            <w:sz w:val="22"/>
            <w:szCs w:val="22"/>
            <w:lang w:val="es-ES"/>
          </w:rPr>
          <w:instrText xml:space="preserve"> PAGEREF _Toc526369789 \h </w:instrText>
        </w:r>
        <w:r w:rsidR="00426413" w:rsidRPr="007F04DE">
          <w:rPr>
            <w:rFonts w:ascii="Arial" w:hAnsi="Arial" w:cs="Arial"/>
            <w:noProof/>
            <w:webHidden/>
            <w:sz w:val="22"/>
            <w:szCs w:val="22"/>
            <w:lang w:val="es-ES"/>
          </w:rPr>
        </w:r>
        <w:r w:rsidR="00426413" w:rsidRPr="007F04DE">
          <w:rPr>
            <w:rFonts w:ascii="Arial" w:hAnsi="Arial" w:cs="Arial"/>
            <w:noProof/>
            <w:webHidden/>
            <w:sz w:val="22"/>
            <w:szCs w:val="22"/>
            <w:lang w:val="es-ES"/>
          </w:rPr>
          <w:fldChar w:fldCharType="separate"/>
        </w:r>
        <w:r w:rsidR="00426413" w:rsidRPr="007F04DE">
          <w:rPr>
            <w:rFonts w:ascii="Arial" w:hAnsi="Arial" w:cs="Arial"/>
            <w:noProof/>
            <w:webHidden/>
            <w:sz w:val="22"/>
            <w:szCs w:val="22"/>
            <w:lang w:val="es-ES"/>
          </w:rPr>
          <w:t>3</w:t>
        </w:r>
        <w:r w:rsidR="00426413" w:rsidRPr="007F04DE">
          <w:rPr>
            <w:rFonts w:ascii="Arial" w:hAnsi="Arial" w:cs="Arial"/>
            <w:noProof/>
            <w:webHidden/>
            <w:sz w:val="22"/>
            <w:szCs w:val="22"/>
            <w:lang w:val="es-ES"/>
          </w:rPr>
          <w:fldChar w:fldCharType="end"/>
        </w:r>
      </w:hyperlink>
    </w:p>
    <w:p w14:paraId="29C580FB" w14:textId="0CCEEBD4" w:rsidR="00426413" w:rsidRPr="007F04DE" w:rsidRDefault="004C38F7">
      <w:pPr>
        <w:pStyle w:val="TDC3"/>
        <w:tabs>
          <w:tab w:val="left" w:pos="1000"/>
          <w:tab w:val="right" w:leader="dot" w:pos="8488"/>
        </w:tabs>
        <w:rPr>
          <w:rFonts w:ascii="Arial" w:eastAsiaTheme="minorEastAsia" w:hAnsi="Arial" w:cs="Arial"/>
          <w:noProof/>
          <w:sz w:val="22"/>
          <w:szCs w:val="22"/>
          <w:lang w:val="es-ES" w:eastAsia="es-ES_tradnl"/>
        </w:rPr>
      </w:pPr>
      <w:hyperlink w:anchor="_Toc526369790" w:history="1">
        <w:r w:rsidR="00426413" w:rsidRPr="007F04DE">
          <w:rPr>
            <w:rStyle w:val="Hipervnculo"/>
            <w:rFonts w:ascii="Arial" w:hAnsi="Arial" w:cs="Arial"/>
            <w:noProof/>
            <w:sz w:val="22"/>
            <w:szCs w:val="22"/>
            <w:lang w:val="es-ES"/>
          </w:rPr>
          <w:t>2.1.1.</w:t>
        </w:r>
        <w:r w:rsidR="00426413" w:rsidRPr="007F04DE">
          <w:rPr>
            <w:rFonts w:ascii="Arial" w:eastAsiaTheme="minorEastAsia" w:hAnsi="Arial" w:cs="Arial"/>
            <w:noProof/>
            <w:sz w:val="22"/>
            <w:szCs w:val="22"/>
            <w:lang w:val="es-ES" w:eastAsia="es-ES_tradnl"/>
          </w:rPr>
          <w:tab/>
        </w:r>
        <w:r w:rsidR="00426413" w:rsidRPr="007F04DE">
          <w:rPr>
            <w:rStyle w:val="Hipervnculo"/>
            <w:rFonts w:ascii="Arial" w:hAnsi="Arial" w:cs="Arial"/>
            <w:noProof/>
            <w:sz w:val="22"/>
            <w:szCs w:val="22"/>
            <w:lang w:val="es-ES"/>
          </w:rPr>
          <w:t>Análisis de los Proyectos 1 y 2 de la Estrategia 1- Eje 5</w:t>
        </w:r>
        <w:r w:rsidR="00426413" w:rsidRPr="007F04DE">
          <w:rPr>
            <w:rFonts w:ascii="Arial" w:hAnsi="Arial" w:cs="Arial"/>
            <w:noProof/>
            <w:webHidden/>
            <w:sz w:val="22"/>
            <w:szCs w:val="22"/>
            <w:lang w:val="es-ES"/>
          </w:rPr>
          <w:tab/>
        </w:r>
        <w:r w:rsidR="00426413" w:rsidRPr="007F04DE">
          <w:rPr>
            <w:rFonts w:ascii="Arial" w:hAnsi="Arial" w:cs="Arial"/>
            <w:noProof/>
            <w:webHidden/>
            <w:sz w:val="22"/>
            <w:szCs w:val="22"/>
            <w:lang w:val="es-ES"/>
          </w:rPr>
          <w:fldChar w:fldCharType="begin"/>
        </w:r>
        <w:r w:rsidR="00426413" w:rsidRPr="007F04DE">
          <w:rPr>
            <w:rFonts w:ascii="Arial" w:hAnsi="Arial" w:cs="Arial"/>
            <w:noProof/>
            <w:webHidden/>
            <w:sz w:val="22"/>
            <w:szCs w:val="22"/>
            <w:lang w:val="es-ES"/>
          </w:rPr>
          <w:instrText xml:space="preserve"> PAGEREF _Toc526369790 \h </w:instrText>
        </w:r>
        <w:r w:rsidR="00426413" w:rsidRPr="007F04DE">
          <w:rPr>
            <w:rFonts w:ascii="Arial" w:hAnsi="Arial" w:cs="Arial"/>
            <w:noProof/>
            <w:webHidden/>
            <w:sz w:val="22"/>
            <w:szCs w:val="22"/>
            <w:lang w:val="es-ES"/>
          </w:rPr>
        </w:r>
        <w:r w:rsidR="00426413" w:rsidRPr="007F04DE">
          <w:rPr>
            <w:rFonts w:ascii="Arial" w:hAnsi="Arial" w:cs="Arial"/>
            <w:noProof/>
            <w:webHidden/>
            <w:sz w:val="22"/>
            <w:szCs w:val="22"/>
            <w:lang w:val="es-ES"/>
          </w:rPr>
          <w:fldChar w:fldCharType="separate"/>
        </w:r>
        <w:r w:rsidR="00426413" w:rsidRPr="007F04DE">
          <w:rPr>
            <w:rFonts w:ascii="Arial" w:hAnsi="Arial" w:cs="Arial"/>
            <w:noProof/>
            <w:webHidden/>
            <w:sz w:val="22"/>
            <w:szCs w:val="22"/>
            <w:lang w:val="es-ES"/>
          </w:rPr>
          <w:t>4</w:t>
        </w:r>
        <w:r w:rsidR="00426413" w:rsidRPr="007F04DE">
          <w:rPr>
            <w:rFonts w:ascii="Arial" w:hAnsi="Arial" w:cs="Arial"/>
            <w:noProof/>
            <w:webHidden/>
            <w:sz w:val="22"/>
            <w:szCs w:val="22"/>
            <w:lang w:val="es-ES"/>
          </w:rPr>
          <w:fldChar w:fldCharType="end"/>
        </w:r>
      </w:hyperlink>
    </w:p>
    <w:p w14:paraId="18F1E80A" w14:textId="19D6EE13" w:rsidR="00426413" w:rsidRPr="007F04DE" w:rsidRDefault="004C38F7">
      <w:pPr>
        <w:pStyle w:val="TDC2"/>
        <w:tabs>
          <w:tab w:val="left" w:pos="600"/>
          <w:tab w:val="right" w:leader="dot" w:pos="8488"/>
        </w:tabs>
        <w:rPr>
          <w:rFonts w:ascii="Arial" w:eastAsiaTheme="minorEastAsia" w:hAnsi="Arial" w:cs="Arial"/>
          <w:b w:val="0"/>
          <w:bCs w:val="0"/>
          <w:noProof/>
          <w:sz w:val="22"/>
          <w:szCs w:val="22"/>
          <w:lang w:val="es-ES" w:eastAsia="es-ES_tradnl"/>
        </w:rPr>
      </w:pPr>
      <w:hyperlink w:anchor="_Toc526369791" w:history="1">
        <w:r w:rsidR="00426413" w:rsidRPr="007F04DE">
          <w:rPr>
            <w:rStyle w:val="Hipervnculo"/>
            <w:rFonts w:ascii="Arial" w:hAnsi="Arial" w:cs="Arial"/>
            <w:noProof/>
            <w:sz w:val="22"/>
            <w:szCs w:val="22"/>
            <w:lang w:val="es-ES"/>
          </w:rPr>
          <w:t>2.2.</w:t>
        </w:r>
        <w:r w:rsidR="00426413" w:rsidRPr="007F04DE">
          <w:rPr>
            <w:rFonts w:ascii="Arial" w:eastAsiaTheme="minorEastAsia" w:hAnsi="Arial" w:cs="Arial"/>
            <w:b w:val="0"/>
            <w:bCs w:val="0"/>
            <w:noProof/>
            <w:sz w:val="22"/>
            <w:szCs w:val="22"/>
            <w:lang w:val="es-ES" w:eastAsia="es-ES_tradnl"/>
          </w:rPr>
          <w:tab/>
        </w:r>
        <w:r w:rsidR="00426413" w:rsidRPr="007F04DE">
          <w:rPr>
            <w:rStyle w:val="Hipervnculo"/>
            <w:rFonts w:ascii="Arial" w:hAnsi="Arial" w:cs="Arial"/>
            <w:noProof/>
            <w:sz w:val="22"/>
            <w:szCs w:val="22"/>
            <w:lang w:val="es-ES"/>
          </w:rPr>
          <w:t>Análisis del Eje 5/Estrategia 2</w:t>
        </w:r>
        <w:r w:rsidR="00426413" w:rsidRPr="007F04DE">
          <w:rPr>
            <w:rFonts w:ascii="Arial" w:hAnsi="Arial" w:cs="Arial"/>
            <w:noProof/>
            <w:webHidden/>
            <w:sz w:val="22"/>
            <w:szCs w:val="22"/>
            <w:lang w:val="es-ES"/>
          </w:rPr>
          <w:tab/>
        </w:r>
        <w:r w:rsidR="00426413" w:rsidRPr="007F04DE">
          <w:rPr>
            <w:rFonts w:ascii="Arial" w:hAnsi="Arial" w:cs="Arial"/>
            <w:noProof/>
            <w:webHidden/>
            <w:sz w:val="22"/>
            <w:szCs w:val="22"/>
            <w:lang w:val="es-ES"/>
          </w:rPr>
          <w:fldChar w:fldCharType="begin"/>
        </w:r>
        <w:r w:rsidR="00426413" w:rsidRPr="007F04DE">
          <w:rPr>
            <w:rFonts w:ascii="Arial" w:hAnsi="Arial" w:cs="Arial"/>
            <w:noProof/>
            <w:webHidden/>
            <w:sz w:val="22"/>
            <w:szCs w:val="22"/>
            <w:lang w:val="es-ES"/>
          </w:rPr>
          <w:instrText xml:space="preserve"> PAGEREF _Toc526369791 \h </w:instrText>
        </w:r>
        <w:r w:rsidR="00426413" w:rsidRPr="007F04DE">
          <w:rPr>
            <w:rFonts w:ascii="Arial" w:hAnsi="Arial" w:cs="Arial"/>
            <w:noProof/>
            <w:webHidden/>
            <w:sz w:val="22"/>
            <w:szCs w:val="22"/>
            <w:lang w:val="es-ES"/>
          </w:rPr>
        </w:r>
        <w:r w:rsidR="00426413" w:rsidRPr="007F04DE">
          <w:rPr>
            <w:rFonts w:ascii="Arial" w:hAnsi="Arial" w:cs="Arial"/>
            <w:noProof/>
            <w:webHidden/>
            <w:sz w:val="22"/>
            <w:szCs w:val="22"/>
            <w:lang w:val="es-ES"/>
          </w:rPr>
          <w:fldChar w:fldCharType="separate"/>
        </w:r>
        <w:r w:rsidR="00426413" w:rsidRPr="007F04DE">
          <w:rPr>
            <w:rFonts w:ascii="Arial" w:hAnsi="Arial" w:cs="Arial"/>
            <w:noProof/>
            <w:webHidden/>
            <w:sz w:val="22"/>
            <w:szCs w:val="22"/>
            <w:lang w:val="es-ES"/>
          </w:rPr>
          <w:t>6</w:t>
        </w:r>
        <w:r w:rsidR="00426413" w:rsidRPr="007F04DE">
          <w:rPr>
            <w:rFonts w:ascii="Arial" w:hAnsi="Arial" w:cs="Arial"/>
            <w:noProof/>
            <w:webHidden/>
            <w:sz w:val="22"/>
            <w:szCs w:val="22"/>
            <w:lang w:val="es-ES"/>
          </w:rPr>
          <w:fldChar w:fldCharType="end"/>
        </w:r>
      </w:hyperlink>
    </w:p>
    <w:p w14:paraId="135F8CB8" w14:textId="000AB94D" w:rsidR="00426413" w:rsidRPr="007F04DE" w:rsidRDefault="004C38F7">
      <w:pPr>
        <w:pStyle w:val="TDC3"/>
        <w:tabs>
          <w:tab w:val="left" w:pos="1000"/>
          <w:tab w:val="right" w:leader="dot" w:pos="8488"/>
        </w:tabs>
        <w:rPr>
          <w:rFonts w:ascii="Arial" w:eastAsiaTheme="minorEastAsia" w:hAnsi="Arial" w:cs="Arial"/>
          <w:noProof/>
          <w:sz w:val="22"/>
          <w:szCs w:val="22"/>
          <w:lang w:val="es-ES" w:eastAsia="es-ES_tradnl"/>
        </w:rPr>
      </w:pPr>
      <w:hyperlink w:anchor="_Toc526369792" w:history="1">
        <w:r w:rsidR="00426413" w:rsidRPr="007F04DE">
          <w:rPr>
            <w:rStyle w:val="Hipervnculo"/>
            <w:rFonts w:ascii="Arial" w:hAnsi="Arial" w:cs="Arial"/>
            <w:noProof/>
            <w:sz w:val="22"/>
            <w:szCs w:val="22"/>
            <w:lang w:val="es-ES"/>
          </w:rPr>
          <w:t>2.2.1.</w:t>
        </w:r>
        <w:r w:rsidR="00426413" w:rsidRPr="007F04DE">
          <w:rPr>
            <w:rFonts w:ascii="Arial" w:eastAsiaTheme="minorEastAsia" w:hAnsi="Arial" w:cs="Arial"/>
            <w:noProof/>
            <w:sz w:val="22"/>
            <w:szCs w:val="22"/>
            <w:lang w:val="es-ES" w:eastAsia="es-ES_tradnl"/>
          </w:rPr>
          <w:tab/>
        </w:r>
        <w:r w:rsidR="00426413" w:rsidRPr="007F04DE">
          <w:rPr>
            <w:rStyle w:val="Hipervnculo"/>
            <w:rFonts w:ascii="Arial" w:hAnsi="Arial" w:cs="Arial"/>
            <w:noProof/>
            <w:sz w:val="22"/>
            <w:szCs w:val="22"/>
            <w:lang w:val="es-ES"/>
          </w:rPr>
          <w:t>Análisis de las Gestión Normativa 1, 2 y 3 de la Estrategia 2 del Eje 5.</w:t>
        </w:r>
        <w:r w:rsidR="00426413" w:rsidRPr="007F04DE">
          <w:rPr>
            <w:rFonts w:ascii="Arial" w:hAnsi="Arial" w:cs="Arial"/>
            <w:noProof/>
            <w:webHidden/>
            <w:sz w:val="22"/>
            <w:szCs w:val="22"/>
            <w:lang w:val="es-ES"/>
          </w:rPr>
          <w:tab/>
        </w:r>
        <w:r w:rsidR="00426413" w:rsidRPr="007F04DE">
          <w:rPr>
            <w:rFonts w:ascii="Arial" w:hAnsi="Arial" w:cs="Arial"/>
            <w:noProof/>
            <w:webHidden/>
            <w:sz w:val="22"/>
            <w:szCs w:val="22"/>
            <w:lang w:val="es-ES"/>
          </w:rPr>
          <w:fldChar w:fldCharType="begin"/>
        </w:r>
        <w:r w:rsidR="00426413" w:rsidRPr="007F04DE">
          <w:rPr>
            <w:rFonts w:ascii="Arial" w:hAnsi="Arial" w:cs="Arial"/>
            <w:noProof/>
            <w:webHidden/>
            <w:sz w:val="22"/>
            <w:szCs w:val="22"/>
            <w:lang w:val="es-ES"/>
          </w:rPr>
          <w:instrText xml:space="preserve"> PAGEREF _Toc526369792 \h </w:instrText>
        </w:r>
        <w:r w:rsidR="00426413" w:rsidRPr="007F04DE">
          <w:rPr>
            <w:rFonts w:ascii="Arial" w:hAnsi="Arial" w:cs="Arial"/>
            <w:noProof/>
            <w:webHidden/>
            <w:sz w:val="22"/>
            <w:szCs w:val="22"/>
            <w:lang w:val="es-ES"/>
          </w:rPr>
        </w:r>
        <w:r w:rsidR="00426413" w:rsidRPr="007F04DE">
          <w:rPr>
            <w:rFonts w:ascii="Arial" w:hAnsi="Arial" w:cs="Arial"/>
            <w:noProof/>
            <w:webHidden/>
            <w:sz w:val="22"/>
            <w:szCs w:val="22"/>
            <w:lang w:val="es-ES"/>
          </w:rPr>
          <w:fldChar w:fldCharType="separate"/>
        </w:r>
        <w:r w:rsidR="00426413" w:rsidRPr="007F04DE">
          <w:rPr>
            <w:rFonts w:ascii="Arial" w:hAnsi="Arial" w:cs="Arial"/>
            <w:noProof/>
            <w:webHidden/>
            <w:sz w:val="22"/>
            <w:szCs w:val="22"/>
            <w:lang w:val="es-ES"/>
          </w:rPr>
          <w:t>7</w:t>
        </w:r>
        <w:r w:rsidR="00426413" w:rsidRPr="007F04DE">
          <w:rPr>
            <w:rFonts w:ascii="Arial" w:hAnsi="Arial" w:cs="Arial"/>
            <w:noProof/>
            <w:webHidden/>
            <w:sz w:val="22"/>
            <w:szCs w:val="22"/>
            <w:lang w:val="es-ES"/>
          </w:rPr>
          <w:fldChar w:fldCharType="end"/>
        </w:r>
      </w:hyperlink>
    </w:p>
    <w:p w14:paraId="53A63474" w14:textId="6A56F6AE" w:rsidR="00426413" w:rsidRPr="007F04DE" w:rsidRDefault="004C38F7">
      <w:pPr>
        <w:pStyle w:val="TDC1"/>
        <w:tabs>
          <w:tab w:val="left" w:pos="600"/>
          <w:tab w:val="right" w:leader="dot" w:pos="8488"/>
        </w:tabs>
        <w:rPr>
          <w:rFonts w:eastAsiaTheme="minorEastAsia" w:cs="Arial"/>
          <w:b w:val="0"/>
          <w:bCs w:val="0"/>
          <w:caps w:val="0"/>
          <w:noProof/>
          <w:szCs w:val="22"/>
          <w:lang w:val="es-ES" w:eastAsia="es-ES_tradnl"/>
        </w:rPr>
      </w:pPr>
      <w:hyperlink w:anchor="_Toc526369793" w:history="1">
        <w:r w:rsidR="00426413" w:rsidRPr="007F04DE">
          <w:rPr>
            <w:rStyle w:val="Hipervnculo"/>
            <w:rFonts w:cs="Arial"/>
            <w:noProof/>
            <w:szCs w:val="22"/>
            <w:lang w:val="es-ES"/>
          </w:rPr>
          <w:t>3.</w:t>
        </w:r>
        <w:r w:rsidR="00426413" w:rsidRPr="007F04DE">
          <w:rPr>
            <w:rFonts w:eastAsiaTheme="minorEastAsia" w:cs="Arial"/>
            <w:b w:val="0"/>
            <w:bCs w:val="0"/>
            <w:caps w:val="0"/>
            <w:noProof/>
            <w:szCs w:val="22"/>
            <w:lang w:val="es-ES" w:eastAsia="es-ES_tradnl"/>
          </w:rPr>
          <w:tab/>
        </w:r>
        <w:r w:rsidR="00426413" w:rsidRPr="007F04DE">
          <w:rPr>
            <w:rStyle w:val="Hipervnculo"/>
            <w:rFonts w:cs="Arial"/>
            <w:noProof/>
            <w:szCs w:val="22"/>
            <w:lang w:val="es-ES"/>
          </w:rPr>
          <w:t>Conclusiones y recomendaciones</w:t>
        </w:r>
        <w:r w:rsidR="00426413" w:rsidRPr="007F04DE">
          <w:rPr>
            <w:rFonts w:cs="Arial"/>
            <w:noProof/>
            <w:webHidden/>
            <w:szCs w:val="22"/>
            <w:lang w:val="es-ES"/>
          </w:rPr>
          <w:tab/>
        </w:r>
        <w:r w:rsidR="00426413" w:rsidRPr="007F04DE">
          <w:rPr>
            <w:rFonts w:cs="Arial"/>
            <w:noProof/>
            <w:webHidden/>
            <w:szCs w:val="22"/>
            <w:lang w:val="es-ES"/>
          </w:rPr>
          <w:fldChar w:fldCharType="begin"/>
        </w:r>
        <w:r w:rsidR="00426413" w:rsidRPr="007F04DE">
          <w:rPr>
            <w:rFonts w:cs="Arial"/>
            <w:noProof/>
            <w:webHidden/>
            <w:szCs w:val="22"/>
            <w:lang w:val="es-ES"/>
          </w:rPr>
          <w:instrText xml:space="preserve"> PAGEREF _Toc526369793 \h </w:instrText>
        </w:r>
        <w:r w:rsidR="00426413" w:rsidRPr="007F04DE">
          <w:rPr>
            <w:rFonts w:cs="Arial"/>
            <w:noProof/>
            <w:webHidden/>
            <w:szCs w:val="22"/>
            <w:lang w:val="es-ES"/>
          </w:rPr>
        </w:r>
        <w:r w:rsidR="00426413" w:rsidRPr="007F04DE">
          <w:rPr>
            <w:rFonts w:cs="Arial"/>
            <w:noProof/>
            <w:webHidden/>
            <w:szCs w:val="22"/>
            <w:lang w:val="es-ES"/>
          </w:rPr>
          <w:fldChar w:fldCharType="separate"/>
        </w:r>
        <w:r w:rsidR="00426413" w:rsidRPr="007F04DE">
          <w:rPr>
            <w:rFonts w:cs="Arial"/>
            <w:noProof/>
            <w:webHidden/>
            <w:szCs w:val="22"/>
            <w:lang w:val="es-ES"/>
          </w:rPr>
          <w:t>8</w:t>
        </w:r>
        <w:r w:rsidR="00426413" w:rsidRPr="007F04DE">
          <w:rPr>
            <w:rFonts w:cs="Arial"/>
            <w:noProof/>
            <w:webHidden/>
            <w:szCs w:val="22"/>
            <w:lang w:val="es-ES"/>
          </w:rPr>
          <w:fldChar w:fldCharType="end"/>
        </w:r>
      </w:hyperlink>
    </w:p>
    <w:p w14:paraId="69660782" w14:textId="1EEAB7A6" w:rsidR="001D2859" w:rsidRPr="007F04DE" w:rsidRDefault="00426413" w:rsidP="0058543A">
      <w:pPr>
        <w:rPr>
          <w:rFonts w:ascii="Arial" w:eastAsia="Arial" w:hAnsi="Arial" w:cs="Arial"/>
          <w:sz w:val="22"/>
          <w:szCs w:val="22"/>
          <w:lang w:val="es-ES"/>
        </w:rPr>
      </w:pPr>
      <w:r w:rsidRPr="007F04DE">
        <w:rPr>
          <w:rFonts w:ascii="Arial" w:eastAsia="Arial" w:hAnsi="Arial" w:cs="Arial"/>
          <w:b/>
          <w:bCs/>
          <w:caps/>
          <w:sz w:val="22"/>
          <w:szCs w:val="22"/>
          <w:lang w:val="es-ES"/>
        </w:rPr>
        <w:fldChar w:fldCharType="end"/>
      </w:r>
    </w:p>
    <w:p w14:paraId="0A3AFD71" w14:textId="77777777" w:rsidR="001D2859" w:rsidRPr="007F04DE" w:rsidRDefault="001D2859" w:rsidP="0058543A">
      <w:pPr>
        <w:rPr>
          <w:rFonts w:ascii="Arial" w:eastAsia="Arial" w:hAnsi="Arial" w:cs="Arial"/>
          <w:sz w:val="22"/>
          <w:szCs w:val="22"/>
          <w:lang w:val="es-ES"/>
        </w:rPr>
      </w:pPr>
    </w:p>
    <w:p w14:paraId="14198B28" w14:textId="77777777" w:rsidR="001D2859" w:rsidRPr="007F04DE" w:rsidRDefault="001D2859" w:rsidP="0058543A">
      <w:pPr>
        <w:rPr>
          <w:rFonts w:ascii="Arial" w:eastAsia="Arial" w:hAnsi="Arial" w:cs="Arial"/>
          <w:sz w:val="22"/>
          <w:szCs w:val="22"/>
          <w:lang w:val="es-ES"/>
        </w:rPr>
      </w:pPr>
    </w:p>
    <w:p w14:paraId="32FC2C5D" w14:textId="77777777" w:rsidR="001D2859" w:rsidRPr="007F04DE" w:rsidRDefault="001D2859" w:rsidP="0058543A">
      <w:pPr>
        <w:rPr>
          <w:rFonts w:ascii="Arial" w:eastAsia="Arial" w:hAnsi="Arial" w:cs="Arial"/>
          <w:sz w:val="22"/>
          <w:szCs w:val="22"/>
          <w:lang w:val="es-ES"/>
        </w:rPr>
      </w:pPr>
    </w:p>
    <w:p w14:paraId="0F3EB36B" w14:textId="77777777" w:rsidR="001D2859" w:rsidRPr="007F04DE" w:rsidRDefault="001D2859" w:rsidP="0058543A">
      <w:pPr>
        <w:rPr>
          <w:rFonts w:eastAsia="Arial"/>
          <w:lang w:val="es-ES"/>
        </w:rPr>
      </w:pPr>
    </w:p>
    <w:p w14:paraId="7375DC38" w14:textId="0B8E5412" w:rsidR="001D2859" w:rsidRPr="007F04DE" w:rsidRDefault="001D2859" w:rsidP="0058543A">
      <w:pPr>
        <w:rPr>
          <w:rFonts w:eastAsia="Arial"/>
          <w:lang w:val="es-ES"/>
        </w:rPr>
      </w:pPr>
      <w:r w:rsidRPr="007F04DE">
        <w:rPr>
          <w:rFonts w:eastAsia="Arial"/>
          <w:lang w:val="es-ES"/>
        </w:rPr>
        <w:br/>
      </w:r>
    </w:p>
    <w:p w14:paraId="6E3BF69A" w14:textId="77777777" w:rsidR="001D2859" w:rsidRPr="007F04DE" w:rsidRDefault="001D2859" w:rsidP="0058543A">
      <w:pPr>
        <w:rPr>
          <w:rFonts w:eastAsia="Arial"/>
          <w:lang w:val="es-ES"/>
        </w:rPr>
      </w:pPr>
    </w:p>
    <w:p w14:paraId="0D705767" w14:textId="77777777" w:rsidR="001D2859" w:rsidRPr="007F04DE" w:rsidRDefault="001D2859" w:rsidP="0058543A">
      <w:pPr>
        <w:rPr>
          <w:rFonts w:eastAsia="Arial"/>
          <w:lang w:val="es-ES"/>
        </w:rPr>
      </w:pPr>
    </w:p>
    <w:p w14:paraId="29D5BBCC" w14:textId="77777777" w:rsidR="001D2859" w:rsidRPr="007F04DE" w:rsidRDefault="001D2859" w:rsidP="0058543A">
      <w:pPr>
        <w:rPr>
          <w:rFonts w:eastAsia="Arial"/>
          <w:lang w:val="es-ES"/>
        </w:rPr>
      </w:pPr>
    </w:p>
    <w:p w14:paraId="0B061107" w14:textId="27D11EB4" w:rsidR="0058543A" w:rsidRPr="007F04DE" w:rsidRDefault="0058543A" w:rsidP="0058543A">
      <w:pPr>
        <w:rPr>
          <w:rFonts w:eastAsia="Arial"/>
          <w:lang w:val="es-ES"/>
        </w:rPr>
      </w:pPr>
      <w:r w:rsidRPr="007F04DE">
        <w:rPr>
          <w:rFonts w:eastAsia="Arial"/>
          <w:lang w:val="es-ES"/>
        </w:rPr>
        <w:br w:type="page"/>
      </w:r>
    </w:p>
    <w:p w14:paraId="055D4681" w14:textId="338F6BDE" w:rsidR="00575430" w:rsidRPr="007F04DE" w:rsidRDefault="004A1F62" w:rsidP="00DB78B6">
      <w:pPr>
        <w:pStyle w:val="Estilo1"/>
        <w:rPr>
          <w:lang w:val="es-ES"/>
        </w:rPr>
      </w:pPr>
      <w:bookmarkStart w:id="1" w:name="_Toc526368739"/>
      <w:bookmarkStart w:id="2" w:name="_Toc526369787"/>
      <w:r w:rsidRPr="007F04DE">
        <w:rPr>
          <w:lang w:val="es-ES"/>
        </w:rPr>
        <w:lastRenderedPageBreak/>
        <w:t>Presentación</w:t>
      </w:r>
      <w:bookmarkEnd w:id="1"/>
      <w:bookmarkEnd w:id="2"/>
    </w:p>
    <w:p w14:paraId="66667EE1" w14:textId="77777777" w:rsidR="00F70B86" w:rsidRPr="007F04DE" w:rsidRDefault="00F70B86" w:rsidP="00F70B86">
      <w:pPr>
        <w:rPr>
          <w:lang w:val="es-ES"/>
        </w:rPr>
      </w:pPr>
    </w:p>
    <w:p w14:paraId="051E6A8A" w14:textId="44D4FDA2" w:rsidR="00F70B86" w:rsidRPr="007F04DE" w:rsidRDefault="00F70B86" w:rsidP="00F70B86">
      <w:pPr>
        <w:jc w:val="both"/>
        <w:rPr>
          <w:rFonts w:ascii="Arial" w:hAnsi="Arial" w:cs="Arial"/>
          <w:sz w:val="22"/>
          <w:lang w:val="es-ES"/>
        </w:rPr>
      </w:pPr>
      <w:r w:rsidRPr="007F04DE">
        <w:rPr>
          <w:rFonts w:ascii="Arial" w:hAnsi="Arial" w:cs="Arial"/>
          <w:sz w:val="22"/>
          <w:szCs w:val="22"/>
          <w:lang w:val="es-ES"/>
        </w:rPr>
        <w:t xml:space="preserve">El presente documento analiza la pertinencia de las propuestas referidas a vivienda del Plan del Centro Histórico de Quito, </w:t>
      </w:r>
      <w:r w:rsidR="00524F6B" w:rsidRPr="007F04DE">
        <w:rPr>
          <w:rFonts w:ascii="Arial" w:hAnsi="Arial" w:cs="Arial"/>
          <w:sz w:val="22"/>
          <w:szCs w:val="22"/>
          <w:lang w:val="es-ES"/>
        </w:rPr>
        <w:t>el cual</w:t>
      </w:r>
      <w:r w:rsidRPr="007F04DE">
        <w:rPr>
          <w:rFonts w:ascii="Arial" w:hAnsi="Arial" w:cs="Arial"/>
          <w:sz w:val="22"/>
          <w:szCs w:val="22"/>
          <w:lang w:val="es-ES"/>
        </w:rPr>
        <w:t xml:space="preserve"> viene siendo desarrollado por el Instituto M</w:t>
      </w:r>
      <w:r w:rsidR="00BE26F9" w:rsidRPr="007F04DE">
        <w:rPr>
          <w:rFonts w:ascii="Arial" w:hAnsi="Arial" w:cs="Arial"/>
          <w:sz w:val="22"/>
          <w:szCs w:val="22"/>
          <w:lang w:val="es-ES"/>
        </w:rPr>
        <w:t xml:space="preserve">etropolitano de Planificación. </w:t>
      </w:r>
      <w:r w:rsidR="005F2E2F" w:rsidRPr="007F04DE">
        <w:rPr>
          <w:rFonts w:ascii="Arial" w:hAnsi="Arial" w:cs="Arial"/>
          <w:sz w:val="22"/>
          <w:szCs w:val="22"/>
          <w:lang w:val="es-ES"/>
        </w:rPr>
        <w:t>Est</w:t>
      </w:r>
      <w:r w:rsidR="00BE26F9" w:rsidRPr="007F04DE">
        <w:rPr>
          <w:rFonts w:ascii="Arial" w:hAnsi="Arial" w:cs="Arial"/>
          <w:sz w:val="22"/>
          <w:szCs w:val="22"/>
          <w:lang w:val="es-ES"/>
        </w:rPr>
        <w:t xml:space="preserve">a es una evaluación </w:t>
      </w:r>
      <w:r w:rsidR="005F2E2F" w:rsidRPr="007F04DE">
        <w:rPr>
          <w:rFonts w:ascii="Arial" w:hAnsi="Arial" w:cs="Arial"/>
          <w:sz w:val="22"/>
          <w:szCs w:val="22"/>
          <w:lang w:val="es-ES"/>
        </w:rPr>
        <w:t xml:space="preserve">previa a la elaboración del modelo de gestión </w:t>
      </w:r>
      <w:r w:rsidR="00BE26F9" w:rsidRPr="007F04DE">
        <w:rPr>
          <w:rFonts w:ascii="Arial" w:hAnsi="Arial" w:cs="Arial"/>
          <w:sz w:val="22"/>
          <w:szCs w:val="22"/>
          <w:lang w:val="es-ES"/>
        </w:rPr>
        <w:t>del</w:t>
      </w:r>
      <w:r w:rsidR="002B4851" w:rsidRPr="007F04DE">
        <w:rPr>
          <w:rFonts w:ascii="Arial" w:hAnsi="Arial" w:cs="Arial"/>
          <w:sz w:val="22"/>
          <w:szCs w:val="22"/>
          <w:lang w:val="es-ES"/>
        </w:rPr>
        <w:t xml:space="preserve"> programa municipal de vivienda en inmuebles de patrimonio histórico en el centro histórico de Quito. En este sentido, el objetivo del presente</w:t>
      </w:r>
      <w:r w:rsidR="002B4851" w:rsidRPr="007F04DE">
        <w:rPr>
          <w:rFonts w:ascii="Arial" w:hAnsi="Arial" w:cs="Arial"/>
          <w:sz w:val="22"/>
          <w:lang w:val="es-ES"/>
        </w:rPr>
        <w:t xml:space="preserve"> docume</w:t>
      </w:r>
      <w:r w:rsidR="0042786A" w:rsidRPr="007F04DE">
        <w:rPr>
          <w:rFonts w:ascii="Arial" w:hAnsi="Arial" w:cs="Arial"/>
          <w:sz w:val="22"/>
          <w:lang w:val="es-ES"/>
        </w:rPr>
        <w:t xml:space="preserve">nto es </w:t>
      </w:r>
      <w:r w:rsidR="00956CBA" w:rsidRPr="007F04DE">
        <w:rPr>
          <w:rFonts w:ascii="Arial" w:hAnsi="Arial" w:cs="Arial"/>
          <w:sz w:val="22"/>
          <w:lang w:val="es-ES"/>
        </w:rPr>
        <w:t>analizar</w:t>
      </w:r>
      <w:r w:rsidR="0042786A" w:rsidRPr="007F04DE">
        <w:rPr>
          <w:rFonts w:ascii="Arial" w:hAnsi="Arial" w:cs="Arial"/>
          <w:sz w:val="22"/>
          <w:lang w:val="es-ES"/>
        </w:rPr>
        <w:t xml:space="preserve"> </w:t>
      </w:r>
      <w:r w:rsidR="00956CBA" w:rsidRPr="007F04DE">
        <w:rPr>
          <w:rFonts w:ascii="Arial" w:hAnsi="Arial" w:cs="Arial"/>
          <w:sz w:val="22"/>
          <w:lang w:val="es-ES"/>
        </w:rPr>
        <w:t>la sección propositiva</w:t>
      </w:r>
      <w:r w:rsidR="002B4851" w:rsidRPr="007F04DE">
        <w:rPr>
          <w:rFonts w:ascii="Arial" w:hAnsi="Arial" w:cs="Arial"/>
          <w:sz w:val="22"/>
          <w:lang w:val="es-ES"/>
        </w:rPr>
        <w:t xml:space="preserve"> </w:t>
      </w:r>
      <w:r w:rsidR="00956CBA" w:rsidRPr="007F04DE">
        <w:rPr>
          <w:rFonts w:ascii="Arial" w:hAnsi="Arial" w:cs="Arial"/>
          <w:sz w:val="22"/>
          <w:lang w:val="es-ES"/>
        </w:rPr>
        <w:t xml:space="preserve">relativa a vivienda de arriendo del </w:t>
      </w:r>
      <w:r w:rsidR="00B519AF" w:rsidRPr="007F04DE">
        <w:rPr>
          <w:rFonts w:ascii="Arial" w:hAnsi="Arial" w:cs="Arial"/>
          <w:sz w:val="22"/>
          <w:lang w:val="es-ES"/>
        </w:rPr>
        <w:t>Plan del Centro Histórico de Quito</w:t>
      </w:r>
      <w:r w:rsidR="00990624" w:rsidRPr="007F04DE">
        <w:rPr>
          <w:rFonts w:ascii="Arial" w:hAnsi="Arial" w:cs="Arial"/>
          <w:sz w:val="22"/>
          <w:lang w:val="es-ES"/>
        </w:rPr>
        <w:t xml:space="preserve"> (PCHQ)</w:t>
      </w:r>
      <w:r w:rsidR="00B519AF" w:rsidRPr="007F04DE">
        <w:rPr>
          <w:rFonts w:ascii="Arial" w:hAnsi="Arial" w:cs="Arial"/>
          <w:sz w:val="22"/>
          <w:lang w:val="es-ES"/>
        </w:rPr>
        <w:t xml:space="preserve"> </w:t>
      </w:r>
      <w:r w:rsidR="0042786A" w:rsidRPr="007F04DE">
        <w:rPr>
          <w:rFonts w:ascii="Arial" w:hAnsi="Arial" w:cs="Arial"/>
          <w:sz w:val="22"/>
          <w:lang w:val="es-ES"/>
        </w:rPr>
        <w:t xml:space="preserve">y, a partir de las </w:t>
      </w:r>
      <w:r w:rsidR="002B4851" w:rsidRPr="007F04DE">
        <w:rPr>
          <w:rFonts w:ascii="Arial" w:hAnsi="Arial" w:cs="Arial"/>
          <w:sz w:val="22"/>
          <w:lang w:val="es-ES"/>
        </w:rPr>
        <w:t xml:space="preserve">prácticas </w:t>
      </w:r>
      <w:r w:rsidR="0042786A" w:rsidRPr="007F04DE">
        <w:rPr>
          <w:rFonts w:ascii="Arial" w:hAnsi="Arial" w:cs="Arial"/>
          <w:sz w:val="22"/>
          <w:lang w:val="es-ES"/>
        </w:rPr>
        <w:t>revisadas en</w:t>
      </w:r>
      <w:r w:rsidR="002B4851" w:rsidRPr="007F04DE">
        <w:rPr>
          <w:rFonts w:ascii="Arial" w:hAnsi="Arial" w:cs="Arial"/>
          <w:sz w:val="22"/>
          <w:lang w:val="es-ES"/>
        </w:rPr>
        <w:t xml:space="preserve"> el Informe 1 (Componente 1.1), </w:t>
      </w:r>
      <w:r w:rsidR="009245EE" w:rsidRPr="007F04DE">
        <w:rPr>
          <w:rFonts w:ascii="Arial" w:hAnsi="Arial" w:cs="Arial"/>
          <w:sz w:val="22"/>
          <w:lang w:val="es-ES"/>
        </w:rPr>
        <w:t xml:space="preserve">sugerir alternativas </w:t>
      </w:r>
      <w:r w:rsidR="00524F6B" w:rsidRPr="007F04DE">
        <w:rPr>
          <w:rFonts w:ascii="Arial" w:hAnsi="Arial" w:cs="Arial"/>
          <w:sz w:val="22"/>
          <w:lang w:val="es-ES"/>
        </w:rPr>
        <w:t>que puedan ser consideradas</w:t>
      </w:r>
      <w:r w:rsidR="0042786A" w:rsidRPr="007F04DE">
        <w:rPr>
          <w:rFonts w:ascii="Arial" w:hAnsi="Arial" w:cs="Arial"/>
          <w:sz w:val="22"/>
          <w:lang w:val="es-ES"/>
        </w:rPr>
        <w:t xml:space="preserve"> en el modelo de gestión</w:t>
      </w:r>
      <w:r w:rsidR="003741EE" w:rsidRPr="007F04DE">
        <w:rPr>
          <w:rFonts w:ascii="Arial" w:hAnsi="Arial" w:cs="Arial"/>
          <w:sz w:val="22"/>
          <w:lang w:val="es-ES"/>
        </w:rPr>
        <w:t xml:space="preserve"> del programa de arriendo</w:t>
      </w:r>
      <w:r w:rsidR="0042786A" w:rsidRPr="007F04DE">
        <w:rPr>
          <w:rFonts w:ascii="Arial" w:hAnsi="Arial" w:cs="Arial"/>
          <w:sz w:val="22"/>
          <w:lang w:val="es-ES"/>
        </w:rPr>
        <w:t xml:space="preserve">. </w:t>
      </w:r>
    </w:p>
    <w:p w14:paraId="7AE9D9B7" w14:textId="77777777" w:rsidR="004A1F62" w:rsidRPr="007F04DE" w:rsidRDefault="004A1F62" w:rsidP="004C6109">
      <w:pPr>
        <w:pStyle w:val="PresentacinTitulo"/>
        <w:numPr>
          <w:ilvl w:val="0"/>
          <w:numId w:val="0"/>
        </w:numPr>
        <w:ind w:left="720"/>
        <w:rPr>
          <w:lang w:val="es-ES"/>
        </w:rPr>
      </w:pPr>
    </w:p>
    <w:p w14:paraId="0597D4F2" w14:textId="4E817DE0" w:rsidR="00575430" w:rsidRPr="007F04DE" w:rsidRDefault="00524F6B" w:rsidP="00DB78B6">
      <w:pPr>
        <w:pStyle w:val="Estilo1"/>
        <w:rPr>
          <w:lang w:val="es-ES"/>
        </w:rPr>
      </w:pPr>
      <w:bookmarkStart w:id="3" w:name="_Toc526368740"/>
      <w:bookmarkStart w:id="4" w:name="_Toc526369788"/>
      <w:r w:rsidRPr="007F04DE">
        <w:rPr>
          <w:lang w:val="es-ES"/>
        </w:rPr>
        <w:t>Análisis de las propuestas de vivienda del PCHQ</w:t>
      </w:r>
      <w:bookmarkEnd w:id="3"/>
      <w:bookmarkEnd w:id="4"/>
    </w:p>
    <w:p w14:paraId="4D268D7C" w14:textId="5BD2C691" w:rsidR="00956CBA" w:rsidRPr="007F04DE" w:rsidRDefault="00956CBA" w:rsidP="004C6109">
      <w:pPr>
        <w:pStyle w:val="PresentacinTitulo"/>
        <w:numPr>
          <w:ilvl w:val="0"/>
          <w:numId w:val="0"/>
        </w:numPr>
        <w:rPr>
          <w:lang w:val="es-ES"/>
        </w:rPr>
      </w:pPr>
    </w:p>
    <w:p w14:paraId="401895B2" w14:textId="4C2F6268" w:rsidR="00956CBA" w:rsidRPr="007F04DE" w:rsidRDefault="00956CBA" w:rsidP="00956CBA">
      <w:pPr>
        <w:rPr>
          <w:rFonts w:ascii="Arial" w:hAnsi="Arial" w:cs="Arial"/>
          <w:sz w:val="22"/>
          <w:lang w:val="es-ES"/>
        </w:rPr>
      </w:pPr>
      <w:r w:rsidRPr="007F04DE">
        <w:rPr>
          <w:rFonts w:ascii="Arial" w:hAnsi="Arial" w:cs="Arial"/>
          <w:sz w:val="22"/>
          <w:lang w:val="es-ES"/>
        </w:rPr>
        <w:t xml:space="preserve">En relación a vivienda, el PCHQ propone el Eje 5 con dos estrategias, dos proyectos y tres mecanismos de gestión normativa (ver </w:t>
      </w:r>
      <w:r w:rsidR="009914A7" w:rsidRPr="007F04DE">
        <w:rPr>
          <w:rFonts w:ascii="Arial" w:hAnsi="Arial" w:cs="Arial"/>
          <w:sz w:val="22"/>
          <w:u w:val="single"/>
          <w:lang w:val="es-ES"/>
        </w:rPr>
        <w:t>Recuadro</w:t>
      </w:r>
      <w:r w:rsidRPr="007F04DE">
        <w:rPr>
          <w:rFonts w:ascii="Arial" w:hAnsi="Arial" w:cs="Arial"/>
          <w:sz w:val="22"/>
          <w:u w:val="single"/>
          <w:lang w:val="es-ES"/>
        </w:rPr>
        <w:t xml:space="preserve"> 1</w:t>
      </w:r>
      <w:r w:rsidRPr="007F04DE">
        <w:rPr>
          <w:rFonts w:ascii="Arial" w:hAnsi="Arial" w:cs="Arial"/>
          <w:sz w:val="22"/>
          <w:lang w:val="es-ES"/>
        </w:rPr>
        <w:t xml:space="preserve">). </w:t>
      </w:r>
    </w:p>
    <w:p w14:paraId="29D70244" w14:textId="77777777" w:rsidR="00956CBA" w:rsidRPr="007F04DE" w:rsidRDefault="00956CBA" w:rsidP="004C6109">
      <w:pPr>
        <w:pStyle w:val="PresentacinTitulo"/>
        <w:numPr>
          <w:ilvl w:val="0"/>
          <w:numId w:val="0"/>
        </w:numPr>
        <w:rPr>
          <w:lang w:val="es-ES"/>
        </w:rPr>
      </w:pPr>
    </w:p>
    <w:p w14:paraId="66559159" w14:textId="0D157822" w:rsidR="003741EE" w:rsidRPr="007F04DE" w:rsidRDefault="00956CBA" w:rsidP="00956CBA">
      <w:pPr>
        <w:ind w:left="142"/>
        <w:jc w:val="center"/>
        <w:rPr>
          <w:rFonts w:ascii="Arial" w:hAnsi="Arial" w:cs="Arial"/>
          <w:b/>
          <w:lang w:val="es-ES"/>
        </w:rPr>
      </w:pPr>
      <w:r w:rsidRPr="007F04DE">
        <w:rPr>
          <w:rFonts w:ascii="Arial" w:hAnsi="Arial" w:cs="Arial"/>
          <w:b/>
          <w:sz w:val="22"/>
          <w:lang w:val="es-ES"/>
        </w:rPr>
        <w:t>Recuadro 1: Esquema Eje 5-Estrategias-Proyectos-Gestión Normativa</w:t>
      </w:r>
    </w:p>
    <w:p w14:paraId="17F883B3" w14:textId="33AAD1CA" w:rsidR="00A20495" w:rsidRPr="007F04DE" w:rsidRDefault="00956CBA" w:rsidP="004C6109">
      <w:pPr>
        <w:pStyle w:val="PresentacinTitulo"/>
        <w:numPr>
          <w:ilvl w:val="0"/>
          <w:numId w:val="0"/>
        </w:numPr>
        <w:rPr>
          <w:lang w:val="es-ES"/>
        </w:rPr>
      </w:pPr>
      <w:bookmarkStart w:id="5" w:name="_Toc526368741"/>
      <w:r w:rsidRPr="007F04DE">
        <w:rPr>
          <w:noProof/>
          <w:lang w:val="es-ES"/>
        </w:rPr>
        <mc:AlternateContent>
          <mc:Choice Requires="wps">
            <w:drawing>
              <wp:anchor distT="0" distB="0" distL="114300" distR="114300" simplePos="0" relativeHeight="251658240" behindDoc="0" locked="0" layoutInCell="1" allowOverlap="1" wp14:anchorId="74A67FAB" wp14:editId="3A38E4B5">
                <wp:simplePos x="0" y="0"/>
                <wp:positionH relativeFrom="column">
                  <wp:posOffset>457200</wp:posOffset>
                </wp:positionH>
                <wp:positionV relativeFrom="paragraph">
                  <wp:posOffset>36195</wp:posOffset>
                </wp:positionV>
                <wp:extent cx="4686300" cy="4511040"/>
                <wp:effectExtent l="0" t="0" r="38100" b="35560"/>
                <wp:wrapTopAndBottom/>
                <wp:docPr id="1" name="Cuadro de texto 1"/>
                <wp:cNvGraphicFramePr/>
                <a:graphic xmlns:a="http://schemas.openxmlformats.org/drawingml/2006/main">
                  <a:graphicData uri="http://schemas.microsoft.com/office/word/2010/wordprocessingShape">
                    <wps:wsp>
                      <wps:cNvSpPr txBox="1"/>
                      <wps:spPr>
                        <a:xfrm>
                          <a:off x="0" y="0"/>
                          <a:ext cx="4686300" cy="451104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23265FB" w14:textId="6C45C8B4" w:rsidR="00F43A04" w:rsidRDefault="00F43A04" w:rsidP="00956CBA">
                            <w:pPr>
                              <w:ind w:left="1276" w:hanging="709"/>
                              <w:rPr>
                                <w:rFonts w:ascii="Arial" w:hAnsi="Arial" w:cs="Arial"/>
                                <w:b/>
                                <w:color w:val="262626" w:themeColor="text1" w:themeTint="D9"/>
                                <w:sz w:val="22"/>
                                <w:szCs w:val="22"/>
                                <w:u w:val="single"/>
                              </w:rPr>
                            </w:pPr>
                            <w:r w:rsidRPr="001F299C">
                              <w:rPr>
                                <w:rFonts w:ascii="Arial" w:hAnsi="Arial" w:cs="Arial"/>
                                <w:b/>
                                <w:color w:val="000000"/>
                              </w:rPr>
                              <w:t>5.</w:t>
                            </w:r>
                            <w:r w:rsidRPr="001F299C">
                              <w:rPr>
                                <w:rFonts w:ascii="Arial" w:hAnsi="Arial" w:cs="Arial"/>
                                <w:b/>
                                <w:color w:val="000000"/>
                              </w:rPr>
                              <w:tab/>
                            </w:r>
                            <w:r w:rsidRPr="001F299C">
                              <w:rPr>
                                <w:rFonts w:ascii="Arial" w:hAnsi="Arial" w:cs="Arial"/>
                                <w:b/>
                                <w:color w:val="262626" w:themeColor="text1" w:themeTint="D9"/>
                                <w:sz w:val="22"/>
                                <w:szCs w:val="22"/>
                                <w:u w:val="single"/>
                              </w:rPr>
                              <w:t>Eje 5: Promoción de la diversidad poblacional y usos de suelo mixto, para priorizar zonas de baja densidad y vivienda de alquiler</w:t>
                            </w:r>
                          </w:p>
                          <w:p w14:paraId="502A0946" w14:textId="77777777" w:rsidR="00956CBA" w:rsidRPr="00956CBA" w:rsidRDefault="00956CBA" w:rsidP="00956CBA">
                            <w:pPr>
                              <w:ind w:left="1276" w:hanging="709"/>
                              <w:rPr>
                                <w:rFonts w:ascii="Arial" w:hAnsi="Arial" w:cs="Arial"/>
                                <w:b/>
                                <w:color w:val="262626" w:themeColor="text1" w:themeTint="D9"/>
                                <w:sz w:val="22"/>
                                <w:szCs w:val="22"/>
                                <w:u w:val="single"/>
                              </w:rPr>
                            </w:pPr>
                          </w:p>
                          <w:p w14:paraId="79CC4EC1" w14:textId="03C65F61" w:rsidR="00F43A04" w:rsidRDefault="00F43A04" w:rsidP="00956CBA">
                            <w:pPr>
                              <w:ind w:left="1276" w:hanging="709"/>
                              <w:rPr>
                                <w:rFonts w:ascii="Arial" w:hAnsi="Arial"/>
                                <w:b/>
                                <w:i/>
                                <w:color w:val="262626" w:themeColor="text1" w:themeTint="D9"/>
                                <w:sz w:val="22"/>
                                <w:szCs w:val="22"/>
                              </w:rPr>
                            </w:pPr>
                            <w:r w:rsidRPr="001F299C">
                              <w:rPr>
                                <w:rFonts w:ascii="Arial" w:hAnsi="Arial"/>
                                <w:b/>
                                <w:i/>
                                <w:color w:val="262626" w:themeColor="text1" w:themeTint="D9"/>
                                <w:sz w:val="22"/>
                                <w:szCs w:val="22"/>
                              </w:rPr>
                              <w:t>5.2.</w:t>
                            </w:r>
                            <w:r w:rsidRPr="001F299C">
                              <w:rPr>
                                <w:rFonts w:ascii="Arial" w:hAnsi="Arial"/>
                                <w:b/>
                                <w:i/>
                                <w:color w:val="262626" w:themeColor="text1" w:themeTint="D9"/>
                                <w:sz w:val="22"/>
                                <w:szCs w:val="22"/>
                              </w:rPr>
                              <w:tab/>
                              <w:t>Eje 5 / Estrategia 1: Reutilización de edificaciones subutilizadas para usos de vivienda</w:t>
                            </w:r>
                          </w:p>
                          <w:p w14:paraId="58098E61" w14:textId="77777777" w:rsidR="00956CBA" w:rsidRPr="001F299C" w:rsidRDefault="00956CBA" w:rsidP="00956CBA">
                            <w:pPr>
                              <w:rPr>
                                <w:rFonts w:ascii="Arial" w:hAnsi="Arial"/>
                                <w:b/>
                                <w:i/>
                                <w:color w:val="262626" w:themeColor="text1" w:themeTint="D9"/>
                                <w:sz w:val="22"/>
                                <w:szCs w:val="22"/>
                              </w:rPr>
                            </w:pPr>
                          </w:p>
                          <w:p w14:paraId="79DCE2C6" w14:textId="77777777" w:rsidR="00F43A04" w:rsidRDefault="00F43A04" w:rsidP="001F299C">
                            <w:pPr>
                              <w:ind w:left="1276" w:hanging="709"/>
                              <w:rPr>
                                <w:rFonts w:ascii="Arial" w:hAnsi="Arial"/>
                                <w:i/>
                                <w:color w:val="262626" w:themeColor="text1" w:themeTint="D9"/>
                                <w:sz w:val="22"/>
                                <w:szCs w:val="22"/>
                                <w:u w:val="single"/>
                              </w:rPr>
                            </w:pPr>
                            <w:r w:rsidRPr="001F299C">
                              <w:rPr>
                                <w:rFonts w:ascii="Arial" w:hAnsi="Arial"/>
                                <w:i/>
                                <w:color w:val="262626" w:themeColor="text1" w:themeTint="D9"/>
                                <w:sz w:val="22"/>
                                <w:szCs w:val="22"/>
                              </w:rPr>
                              <w:t>5.2.2.1.</w:t>
                            </w:r>
                            <w:r w:rsidRPr="001F299C">
                              <w:rPr>
                                <w:rFonts w:ascii="Arial" w:hAnsi="Arial" w:cs="Arial"/>
                                <w:i/>
                                <w:color w:val="262626" w:themeColor="text1" w:themeTint="D9"/>
                                <w:sz w:val="22"/>
                                <w:szCs w:val="22"/>
                              </w:rPr>
                              <w:tab/>
                            </w:r>
                            <w:r w:rsidRPr="001F299C">
                              <w:rPr>
                                <w:rFonts w:ascii="Arial" w:hAnsi="Arial"/>
                                <w:i/>
                                <w:color w:val="262626" w:themeColor="text1" w:themeTint="D9"/>
                                <w:sz w:val="22"/>
                                <w:szCs w:val="22"/>
                                <w:u w:val="single"/>
                              </w:rPr>
                              <w:t>Proyecto 1: Arriendo de vivienda municipal con carácter social (E5.1-P1)</w:t>
                            </w:r>
                          </w:p>
                          <w:p w14:paraId="0C85396D" w14:textId="77777777" w:rsidR="00956CBA" w:rsidRDefault="00956CBA" w:rsidP="001F299C">
                            <w:pPr>
                              <w:ind w:left="1276" w:hanging="709"/>
                              <w:rPr>
                                <w:rFonts w:ascii="Arial" w:hAnsi="Arial"/>
                                <w:i/>
                                <w:color w:val="262626" w:themeColor="text1" w:themeTint="D9"/>
                                <w:sz w:val="22"/>
                                <w:szCs w:val="22"/>
                                <w:u w:val="single"/>
                              </w:rPr>
                            </w:pPr>
                          </w:p>
                          <w:p w14:paraId="2221DE4A" w14:textId="7DBDF61D" w:rsidR="00956CBA" w:rsidRDefault="00956CBA" w:rsidP="00956CBA">
                            <w:pPr>
                              <w:ind w:left="1276" w:hanging="709"/>
                              <w:rPr>
                                <w:rFonts w:ascii="Arial" w:hAnsi="Arial"/>
                                <w:i/>
                                <w:color w:val="262626" w:themeColor="text1" w:themeTint="D9"/>
                                <w:sz w:val="22"/>
                                <w:szCs w:val="22"/>
                                <w:u w:val="single"/>
                              </w:rPr>
                            </w:pPr>
                            <w:r w:rsidRPr="00956CBA">
                              <w:rPr>
                                <w:rFonts w:ascii="Arial" w:hAnsi="Arial"/>
                                <w:i/>
                                <w:color w:val="262626" w:themeColor="text1" w:themeTint="D9"/>
                                <w:sz w:val="22"/>
                                <w:szCs w:val="22"/>
                              </w:rPr>
                              <w:t xml:space="preserve">5.2.2.2. </w:t>
                            </w:r>
                            <w:r w:rsidRPr="00956CBA">
                              <w:rPr>
                                <w:rFonts w:ascii="Arial" w:hAnsi="Arial"/>
                                <w:i/>
                                <w:color w:val="262626" w:themeColor="text1" w:themeTint="D9"/>
                                <w:sz w:val="22"/>
                                <w:szCs w:val="22"/>
                                <w:u w:val="single"/>
                              </w:rPr>
                              <w:t>Proyecto 2: Rehabilitación de inmuebles municipales subutilizados para uso de vivienda (E5.1-P2)</w:t>
                            </w:r>
                          </w:p>
                          <w:p w14:paraId="2707AC9A" w14:textId="77777777" w:rsidR="00956CBA" w:rsidRPr="00956CBA" w:rsidRDefault="00956CBA" w:rsidP="00956CBA">
                            <w:pPr>
                              <w:ind w:left="1276" w:hanging="709"/>
                              <w:rPr>
                                <w:rFonts w:ascii="Arial" w:hAnsi="Arial"/>
                                <w:i/>
                                <w:color w:val="262626" w:themeColor="text1" w:themeTint="D9"/>
                                <w:sz w:val="22"/>
                                <w:szCs w:val="22"/>
                              </w:rPr>
                            </w:pPr>
                          </w:p>
                          <w:p w14:paraId="3D31C186" w14:textId="199F84DD" w:rsidR="00956CBA" w:rsidRDefault="00956CBA" w:rsidP="00956CBA">
                            <w:pPr>
                              <w:ind w:left="1276" w:hanging="709"/>
                              <w:rPr>
                                <w:rFonts w:ascii="Arial" w:hAnsi="Arial"/>
                                <w:b/>
                                <w:i/>
                                <w:color w:val="262626" w:themeColor="text1" w:themeTint="D9"/>
                                <w:sz w:val="22"/>
                                <w:szCs w:val="22"/>
                              </w:rPr>
                            </w:pPr>
                            <w:r w:rsidRPr="00956CBA">
                              <w:rPr>
                                <w:rFonts w:ascii="Arial" w:hAnsi="Arial"/>
                                <w:b/>
                                <w:i/>
                                <w:color w:val="262626" w:themeColor="text1" w:themeTint="D9"/>
                                <w:sz w:val="22"/>
                                <w:szCs w:val="22"/>
                              </w:rPr>
                              <w:t xml:space="preserve">5.3. </w:t>
                            </w:r>
                            <w:r>
                              <w:rPr>
                                <w:rFonts w:ascii="Arial" w:hAnsi="Arial"/>
                                <w:b/>
                                <w:i/>
                                <w:color w:val="262626" w:themeColor="text1" w:themeTint="D9"/>
                                <w:sz w:val="22"/>
                                <w:szCs w:val="22"/>
                              </w:rPr>
                              <w:t xml:space="preserve">    </w:t>
                            </w:r>
                            <w:r w:rsidRPr="001D7A97">
                              <w:rPr>
                                <w:rFonts w:ascii="Arial" w:hAnsi="Arial"/>
                                <w:b/>
                                <w:color w:val="262626" w:themeColor="text1" w:themeTint="D9"/>
                                <w:sz w:val="22"/>
                                <w:szCs w:val="22"/>
                              </w:rPr>
                              <w:t>Eje 5 / Estrategia 2: Conservación de la diversidad poblacional existente, mitigando los efectos de la gentrificación</w:t>
                            </w:r>
                          </w:p>
                          <w:p w14:paraId="17B8C4A4" w14:textId="77777777" w:rsidR="00956CBA" w:rsidRDefault="00956CBA" w:rsidP="00956CBA">
                            <w:pPr>
                              <w:ind w:left="1276" w:hanging="709"/>
                              <w:jc w:val="both"/>
                              <w:rPr>
                                <w:rFonts w:ascii="Arial" w:hAnsi="Arial"/>
                                <w:i/>
                                <w:color w:val="262626" w:themeColor="text1" w:themeTint="D9"/>
                                <w:sz w:val="22"/>
                                <w:szCs w:val="22"/>
                                <w:u w:val="single"/>
                              </w:rPr>
                            </w:pPr>
                          </w:p>
                          <w:p w14:paraId="4CC44F45" w14:textId="265C7D74" w:rsidR="00956CBA" w:rsidRPr="00956CBA" w:rsidRDefault="00956CBA" w:rsidP="00956CBA">
                            <w:pPr>
                              <w:ind w:left="1276" w:hanging="709"/>
                              <w:jc w:val="both"/>
                              <w:rPr>
                                <w:rFonts w:ascii="Arial" w:hAnsi="Arial"/>
                                <w:i/>
                                <w:color w:val="262626" w:themeColor="text1" w:themeTint="D9"/>
                                <w:sz w:val="22"/>
                                <w:szCs w:val="22"/>
                                <w:u w:val="single"/>
                              </w:rPr>
                            </w:pPr>
                            <w:r w:rsidRPr="00956CBA">
                              <w:rPr>
                                <w:rFonts w:ascii="Arial" w:hAnsi="Arial"/>
                                <w:i/>
                                <w:color w:val="262626" w:themeColor="text1" w:themeTint="D9"/>
                                <w:sz w:val="22"/>
                                <w:szCs w:val="22"/>
                              </w:rPr>
                              <w:t xml:space="preserve">5.3.2.1. </w:t>
                            </w:r>
                            <w:r w:rsidRPr="00956CBA">
                              <w:rPr>
                                <w:rFonts w:ascii="Arial" w:hAnsi="Arial"/>
                                <w:i/>
                                <w:color w:val="262626" w:themeColor="text1" w:themeTint="D9"/>
                                <w:sz w:val="22"/>
                                <w:szCs w:val="22"/>
                                <w:u w:val="single"/>
                              </w:rPr>
                              <w:t>Gestión normativa 1: Derecho de adquisición preferente (entorno: Metro, Av. Pichincha, El Tejar) (E5.2-N1)</w:t>
                            </w:r>
                          </w:p>
                          <w:p w14:paraId="38D9F7F7" w14:textId="77777777" w:rsidR="00956CBA" w:rsidRPr="00956CBA" w:rsidRDefault="00956CBA" w:rsidP="00956CBA">
                            <w:pPr>
                              <w:ind w:left="1276" w:hanging="709"/>
                              <w:jc w:val="both"/>
                              <w:rPr>
                                <w:rFonts w:ascii="Arial" w:hAnsi="Arial"/>
                                <w:i/>
                                <w:color w:val="262626" w:themeColor="text1" w:themeTint="D9"/>
                                <w:sz w:val="22"/>
                                <w:szCs w:val="22"/>
                              </w:rPr>
                            </w:pPr>
                          </w:p>
                          <w:p w14:paraId="2470CAB2" w14:textId="4545959F" w:rsidR="00956CBA" w:rsidRPr="00956CBA" w:rsidRDefault="00956CBA" w:rsidP="00956CBA">
                            <w:pPr>
                              <w:ind w:left="1276" w:hanging="709"/>
                              <w:jc w:val="both"/>
                              <w:rPr>
                                <w:rFonts w:ascii="Arial" w:hAnsi="Arial"/>
                                <w:i/>
                                <w:color w:val="262626" w:themeColor="text1" w:themeTint="D9"/>
                                <w:sz w:val="22"/>
                                <w:szCs w:val="22"/>
                                <w:u w:val="single"/>
                              </w:rPr>
                            </w:pPr>
                            <w:r w:rsidRPr="00956CBA">
                              <w:rPr>
                                <w:rFonts w:ascii="Arial" w:hAnsi="Arial"/>
                                <w:i/>
                                <w:color w:val="262626" w:themeColor="text1" w:themeTint="D9"/>
                                <w:sz w:val="22"/>
                                <w:szCs w:val="22"/>
                              </w:rPr>
                              <w:t xml:space="preserve">5.3.2.2. </w:t>
                            </w:r>
                            <w:r w:rsidRPr="00956CBA">
                              <w:rPr>
                                <w:rFonts w:ascii="Arial" w:hAnsi="Arial"/>
                                <w:i/>
                                <w:color w:val="262626" w:themeColor="text1" w:themeTint="D9"/>
                                <w:sz w:val="22"/>
                                <w:szCs w:val="22"/>
                                <w:u w:val="single"/>
                              </w:rPr>
                              <w:t>Gestión normativa 2: Control de arrendamientos con incentivo del 50% del impuesto predial a quienes tengan ocupada la totalidad de la edificación con vivienda (E5.2-N2)</w:t>
                            </w:r>
                          </w:p>
                          <w:p w14:paraId="1D0A80BF" w14:textId="77777777" w:rsidR="00956CBA" w:rsidRPr="00956CBA" w:rsidRDefault="00956CBA" w:rsidP="00956CBA">
                            <w:pPr>
                              <w:ind w:left="1276" w:hanging="709"/>
                              <w:jc w:val="both"/>
                              <w:rPr>
                                <w:rFonts w:ascii="Arial" w:hAnsi="Arial"/>
                                <w:i/>
                                <w:color w:val="262626" w:themeColor="text1" w:themeTint="D9"/>
                                <w:sz w:val="22"/>
                                <w:szCs w:val="22"/>
                              </w:rPr>
                            </w:pPr>
                          </w:p>
                          <w:p w14:paraId="0D095183" w14:textId="1989BD5F" w:rsidR="00956CBA" w:rsidRPr="00956CBA" w:rsidRDefault="00956CBA" w:rsidP="00956CBA">
                            <w:pPr>
                              <w:ind w:left="1276" w:hanging="709"/>
                              <w:jc w:val="both"/>
                              <w:rPr>
                                <w:rFonts w:ascii="Arial" w:hAnsi="Arial"/>
                                <w:i/>
                                <w:color w:val="262626" w:themeColor="text1" w:themeTint="D9"/>
                                <w:sz w:val="22"/>
                                <w:szCs w:val="22"/>
                                <w:u w:val="single"/>
                              </w:rPr>
                            </w:pPr>
                            <w:r w:rsidRPr="00956CBA">
                              <w:rPr>
                                <w:rFonts w:ascii="Arial" w:hAnsi="Arial"/>
                                <w:i/>
                                <w:color w:val="262626" w:themeColor="text1" w:themeTint="D9"/>
                                <w:sz w:val="22"/>
                                <w:szCs w:val="22"/>
                              </w:rPr>
                              <w:t xml:space="preserve">5.3.2.3. </w:t>
                            </w:r>
                            <w:r w:rsidRPr="00956CBA">
                              <w:rPr>
                                <w:rFonts w:ascii="Arial" w:hAnsi="Arial"/>
                                <w:i/>
                                <w:color w:val="262626" w:themeColor="text1" w:themeTint="D9"/>
                                <w:sz w:val="22"/>
                                <w:szCs w:val="22"/>
                                <w:u w:val="single"/>
                              </w:rPr>
                              <w:t>Gestión normativa 3: Vivienda patrimonial con carácter social en el CHQ (E5.2-N3)</w:t>
                            </w:r>
                          </w:p>
                          <w:p w14:paraId="0A281726" w14:textId="77777777" w:rsidR="00956CBA" w:rsidRPr="00956CBA" w:rsidRDefault="00956CBA" w:rsidP="00956CBA">
                            <w:pPr>
                              <w:ind w:left="1276" w:hanging="709"/>
                              <w:jc w:val="both"/>
                              <w:rPr>
                                <w:rFonts w:ascii="Arial" w:hAnsi="Arial"/>
                                <w:i/>
                                <w:color w:val="262626" w:themeColor="text1" w:themeTint="D9"/>
                                <w:sz w:val="22"/>
                                <w:szCs w:val="22"/>
                              </w:rPr>
                            </w:pPr>
                          </w:p>
                          <w:p w14:paraId="21D68A76" w14:textId="00335804" w:rsidR="00F43A04" w:rsidRPr="001F299C" w:rsidRDefault="00F43A04" w:rsidP="001F299C">
                            <w:pPr>
                              <w:ind w:left="1276" w:right="701"/>
                              <w:jc w:val="both"/>
                              <w:rPr>
                                <w:rFonts w:ascii="Arial" w:hAnsi="Arial"/>
                                <w:color w:val="262626" w:themeColor="text1" w:themeTint="D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67FAB" id="_x0000_t202" coordsize="21600,21600" o:spt="202" path="m,l,21600r21600,l21600,xe">
                <v:stroke joinstyle="miter"/>
                <v:path gradientshapeok="t" o:connecttype="rect"/>
              </v:shapetype>
              <v:shape id="Cuadro de texto 1" o:spid="_x0000_s1026" type="#_x0000_t202" style="position:absolute;margin-left:36pt;margin-top:2.85pt;width:369pt;height:355.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" filled="f" strokecolor="black [3213]">
                <v:textbox>
                  <w:txbxContent>
                    <w:p w14:paraId="623265FB" w14:textId="6C45C8B4" w:rsidR="00F43A04" w:rsidRDefault="00F43A04" w:rsidP="00956CBA">
                      <w:pPr>
                        <w:ind w:left="1276" w:hanging="709"/>
                        <w:rPr>
                          <w:rFonts w:ascii="Arial" w:hAnsi="Arial" w:cs="Arial"/>
                          <w:b/>
                          <w:color w:val="262626" w:themeColor="text1" w:themeTint="D9"/>
                          <w:sz w:val="22"/>
                          <w:szCs w:val="22"/>
                          <w:u w:val="single"/>
                        </w:rPr>
                      </w:pPr>
                      <w:r w:rsidRPr="001F299C">
                        <w:rPr>
                          <w:rFonts w:ascii="Arial" w:hAnsi="Arial" w:cs="Arial"/>
                          <w:b/>
                          <w:color w:val="000000"/>
                        </w:rPr>
                        <w:t>5.</w:t>
                      </w:r>
                      <w:r w:rsidRPr="001F299C">
                        <w:rPr>
                          <w:rFonts w:ascii="Arial" w:hAnsi="Arial" w:cs="Arial"/>
                          <w:b/>
                          <w:color w:val="000000"/>
                        </w:rPr>
                        <w:tab/>
                      </w:r>
                      <w:r w:rsidRPr="001F299C">
                        <w:rPr>
                          <w:rFonts w:ascii="Arial" w:hAnsi="Arial" w:cs="Arial"/>
                          <w:b/>
                          <w:color w:val="262626" w:themeColor="text1" w:themeTint="D9"/>
                          <w:sz w:val="22"/>
                          <w:szCs w:val="22"/>
                          <w:u w:val="single"/>
                        </w:rPr>
                        <w:t>Eje 5: Promoción de la diversidad poblacional y usos de suelo mixto, para priorizar zonas de baja densidad y vivienda de alquiler</w:t>
                      </w:r>
                    </w:p>
                    <w:p w14:paraId="502A0946" w14:textId="77777777" w:rsidR="00956CBA" w:rsidRPr="00956CBA" w:rsidRDefault="00956CBA" w:rsidP="00956CBA">
                      <w:pPr>
                        <w:ind w:left="1276" w:hanging="709"/>
                        <w:rPr>
                          <w:rFonts w:ascii="Arial" w:hAnsi="Arial" w:cs="Arial"/>
                          <w:b/>
                          <w:color w:val="262626" w:themeColor="text1" w:themeTint="D9"/>
                          <w:sz w:val="22"/>
                          <w:szCs w:val="22"/>
                          <w:u w:val="single"/>
                        </w:rPr>
                      </w:pPr>
                    </w:p>
                    <w:p w14:paraId="79CC4EC1" w14:textId="03C65F61" w:rsidR="00F43A04" w:rsidRDefault="00F43A04" w:rsidP="00956CBA">
                      <w:pPr>
                        <w:ind w:left="1276" w:hanging="709"/>
                        <w:rPr>
                          <w:rFonts w:ascii="Arial" w:hAnsi="Arial"/>
                          <w:b/>
                          <w:i/>
                          <w:color w:val="262626" w:themeColor="text1" w:themeTint="D9"/>
                          <w:sz w:val="22"/>
                          <w:szCs w:val="22"/>
                        </w:rPr>
                      </w:pPr>
                      <w:r w:rsidRPr="001F299C">
                        <w:rPr>
                          <w:rFonts w:ascii="Arial" w:hAnsi="Arial"/>
                          <w:b/>
                          <w:i/>
                          <w:color w:val="262626" w:themeColor="text1" w:themeTint="D9"/>
                          <w:sz w:val="22"/>
                          <w:szCs w:val="22"/>
                        </w:rPr>
                        <w:t>5.2.</w:t>
                      </w:r>
                      <w:r w:rsidRPr="001F299C">
                        <w:rPr>
                          <w:rFonts w:ascii="Arial" w:hAnsi="Arial"/>
                          <w:b/>
                          <w:i/>
                          <w:color w:val="262626" w:themeColor="text1" w:themeTint="D9"/>
                          <w:sz w:val="22"/>
                          <w:szCs w:val="22"/>
                        </w:rPr>
                        <w:tab/>
                        <w:t>Eje 5 / Estrategia 1: Reutilización de edificaciones subutilizadas para usos de vivienda</w:t>
                      </w:r>
                    </w:p>
                    <w:p w14:paraId="58098E61" w14:textId="77777777" w:rsidR="00956CBA" w:rsidRPr="001F299C" w:rsidRDefault="00956CBA" w:rsidP="00956CBA">
                      <w:pPr>
                        <w:rPr>
                          <w:rFonts w:ascii="Arial" w:hAnsi="Arial"/>
                          <w:b/>
                          <w:i/>
                          <w:color w:val="262626" w:themeColor="text1" w:themeTint="D9"/>
                          <w:sz w:val="22"/>
                          <w:szCs w:val="22"/>
                        </w:rPr>
                      </w:pPr>
                    </w:p>
                    <w:p w14:paraId="79DCE2C6" w14:textId="77777777" w:rsidR="00F43A04" w:rsidRDefault="00F43A04" w:rsidP="001F299C">
                      <w:pPr>
                        <w:ind w:left="1276" w:hanging="709"/>
                        <w:rPr>
                          <w:rFonts w:ascii="Arial" w:hAnsi="Arial"/>
                          <w:i/>
                          <w:color w:val="262626" w:themeColor="text1" w:themeTint="D9"/>
                          <w:sz w:val="22"/>
                          <w:szCs w:val="22"/>
                          <w:u w:val="single"/>
                        </w:rPr>
                      </w:pPr>
                      <w:r w:rsidRPr="001F299C">
                        <w:rPr>
                          <w:rFonts w:ascii="Arial" w:hAnsi="Arial"/>
                          <w:i/>
                          <w:color w:val="262626" w:themeColor="text1" w:themeTint="D9"/>
                          <w:sz w:val="22"/>
                          <w:szCs w:val="22"/>
                        </w:rPr>
                        <w:t>5.2.2.1.</w:t>
                      </w:r>
                      <w:r w:rsidRPr="001F299C">
                        <w:rPr>
                          <w:rFonts w:ascii="Arial" w:hAnsi="Arial" w:cs="Arial"/>
                          <w:i/>
                          <w:color w:val="262626" w:themeColor="text1" w:themeTint="D9"/>
                          <w:sz w:val="22"/>
                          <w:szCs w:val="22"/>
                        </w:rPr>
                        <w:tab/>
                      </w:r>
                      <w:r w:rsidRPr="001F299C">
                        <w:rPr>
                          <w:rFonts w:ascii="Arial" w:hAnsi="Arial"/>
                          <w:i/>
                          <w:color w:val="262626" w:themeColor="text1" w:themeTint="D9"/>
                          <w:sz w:val="22"/>
                          <w:szCs w:val="22"/>
                          <w:u w:val="single"/>
                        </w:rPr>
                        <w:t>Proyecto 1: Arriendo de vivienda municipal con carácter social (E5.1-P1)</w:t>
                      </w:r>
                    </w:p>
                    <w:p w14:paraId="0C85396D" w14:textId="77777777" w:rsidR="00956CBA" w:rsidRDefault="00956CBA" w:rsidP="001F299C">
                      <w:pPr>
                        <w:ind w:left="1276" w:hanging="709"/>
                        <w:rPr>
                          <w:rFonts w:ascii="Arial" w:hAnsi="Arial"/>
                          <w:i/>
                          <w:color w:val="262626" w:themeColor="text1" w:themeTint="D9"/>
                          <w:sz w:val="22"/>
                          <w:szCs w:val="22"/>
                          <w:u w:val="single"/>
                        </w:rPr>
                      </w:pPr>
                    </w:p>
                    <w:p w14:paraId="2221DE4A" w14:textId="7DBDF61D" w:rsidR="00956CBA" w:rsidRDefault="00956CBA" w:rsidP="00956CBA">
                      <w:pPr>
                        <w:ind w:left="1276" w:hanging="709"/>
                        <w:rPr>
                          <w:rFonts w:ascii="Arial" w:hAnsi="Arial"/>
                          <w:i/>
                          <w:color w:val="262626" w:themeColor="text1" w:themeTint="D9"/>
                          <w:sz w:val="22"/>
                          <w:szCs w:val="22"/>
                          <w:u w:val="single"/>
                        </w:rPr>
                      </w:pPr>
                      <w:r w:rsidRPr="00956CBA">
                        <w:rPr>
                          <w:rFonts w:ascii="Arial" w:hAnsi="Arial"/>
                          <w:i/>
                          <w:color w:val="262626" w:themeColor="text1" w:themeTint="D9"/>
                          <w:sz w:val="22"/>
                          <w:szCs w:val="22"/>
                        </w:rPr>
                        <w:t xml:space="preserve">5.2.2.2. </w:t>
                      </w:r>
                      <w:r w:rsidRPr="00956CBA">
                        <w:rPr>
                          <w:rFonts w:ascii="Arial" w:hAnsi="Arial"/>
                          <w:i/>
                          <w:color w:val="262626" w:themeColor="text1" w:themeTint="D9"/>
                          <w:sz w:val="22"/>
                          <w:szCs w:val="22"/>
                          <w:u w:val="single"/>
                        </w:rPr>
                        <w:t>Proyecto 2: Rehabilitación de inmuebles municipales subutilizados para uso de vivienda (E5.1-P2)</w:t>
                      </w:r>
                    </w:p>
                    <w:p w14:paraId="2707AC9A" w14:textId="77777777" w:rsidR="00956CBA" w:rsidRPr="00956CBA" w:rsidRDefault="00956CBA" w:rsidP="00956CBA">
                      <w:pPr>
                        <w:ind w:left="1276" w:hanging="709"/>
                        <w:rPr>
                          <w:rFonts w:ascii="Arial" w:hAnsi="Arial"/>
                          <w:i/>
                          <w:color w:val="262626" w:themeColor="text1" w:themeTint="D9"/>
                          <w:sz w:val="22"/>
                          <w:szCs w:val="22"/>
                        </w:rPr>
                      </w:pPr>
                    </w:p>
                    <w:p w14:paraId="3D31C186" w14:textId="199F84DD" w:rsidR="00956CBA" w:rsidRDefault="00956CBA" w:rsidP="00956CBA">
                      <w:pPr>
                        <w:ind w:left="1276" w:hanging="709"/>
                        <w:rPr>
                          <w:rFonts w:ascii="Arial" w:hAnsi="Arial"/>
                          <w:b/>
                          <w:i/>
                          <w:color w:val="262626" w:themeColor="text1" w:themeTint="D9"/>
                          <w:sz w:val="22"/>
                          <w:szCs w:val="22"/>
                        </w:rPr>
                      </w:pPr>
                      <w:r w:rsidRPr="00956CBA">
                        <w:rPr>
                          <w:rFonts w:ascii="Arial" w:hAnsi="Arial"/>
                          <w:b/>
                          <w:i/>
                          <w:color w:val="262626" w:themeColor="text1" w:themeTint="D9"/>
                          <w:sz w:val="22"/>
                          <w:szCs w:val="22"/>
                        </w:rPr>
                        <w:t xml:space="preserve">5.3. </w:t>
                      </w:r>
                      <w:r>
                        <w:rPr>
                          <w:rFonts w:ascii="Arial" w:hAnsi="Arial"/>
                          <w:b/>
                          <w:i/>
                          <w:color w:val="262626" w:themeColor="text1" w:themeTint="D9"/>
                          <w:sz w:val="22"/>
                          <w:szCs w:val="22"/>
                        </w:rPr>
                        <w:t xml:space="preserve">    </w:t>
                      </w:r>
                      <w:r w:rsidRPr="001D7A97">
                        <w:rPr>
                          <w:rFonts w:ascii="Arial" w:hAnsi="Arial"/>
                          <w:b/>
                          <w:color w:val="262626" w:themeColor="text1" w:themeTint="D9"/>
                          <w:sz w:val="22"/>
                          <w:szCs w:val="22"/>
                        </w:rPr>
                        <w:t>Eje 5 / Estrategia 2: Conservación de la diversidad poblacional existente, mitigando los efectos de la gentrificación</w:t>
                      </w:r>
                    </w:p>
                    <w:p w14:paraId="17B8C4A4" w14:textId="77777777" w:rsidR="00956CBA" w:rsidRDefault="00956CBA" w:rsidP="00956CBA">
                      <w:pPr>
                        <w:ind w:left="1276" w:hanging="709"/>
                        <w:jc w:val="both"/>
                        <w:rPr>
                          <w:rFonts w:ascii="Arial" w:hAnsi="Arial"/>
                          <w:i/>
                          <w:color w:val="262626" w:themeColor="text1" w:themeTint="D9"/>
                          <w:sz w:val="22"/>
                          <w:szCs w:val="22"/>
                          <w:u w:val="single"/>
                        </w:rPr>
                      </w:pPr>
                    </w:p>
                    <w:p w14:paraId="4CC44F45" w14:textId="265C7D74" w:rsidR="00956CBA" w:rsidRPr="00956CBA" w:rsidRDefault="00956CBA" w:rsidP="00956CBA">
                      <w:pPr>
                        <w:ind w:left="1276" w:hanging="709"/>
                        <w:jc w:val="both"/>
                        <w:rPr>
                          <w:rFonts w:ascii="Arial" w:hAnsi="Arial"/>
                          <w:i/>
                          <w:color w:val="262626" w:themeColor="text1" w:themeTint="D9"/>
                          <w:sz w:val="22"/>
                          <w:szCs w:val="22"/>
                          <w:u w:val="single"/>
                        </w:rPr>
                      </w:pPr>
                      <w:r w:rsidRPr="00956CBA">
                        <w:rPr>
                          <w:rFonts w:ascii="Arial" w:hAnsi="Arial"/>
                          <w:i/>
                          <w:color w:val="262626" w:themeColor="text1" w:themeTint="D9"/>
                          <w:sz w:val="22"/>
                          <w:szCs w:val="22"/>
                        </w:rPr>
                        <w:t xml:space="preserve">5.3.2.1. </w:t>
                      </w:r>
                      <w:r w:rsidRPr="00956CBA">
                        <w:rPr>
                          <w:rFonts w:ascii="Arial" w:hAnsi="Arial"/>
                          <w:i/>
                          <w:color w:val="262626" w:themeColor="text1" w:themeTint="D9"/>
                          <w:sz w:val="22"/>
                          <w:szCs w:val="22"/>
                          <w:u w:val="single"/>
                        </w:rPr>
                        <w:t>Gestión normativa 1: Derecho de adquisición preferente (entorno: Metro, Av. Pichincha, El Tejar) (E5.2-N1)</w:t>
                      </w:r>
                    </w:p>
                    <w:p w14:paraId="38D9F7F7" w14:textId="77777777" w:rsidR="00956CBA" w:rsidRPr="00956CBA" w:rsidRDefault="00956CBA" w:rsidP="00956CBA">
                      <w:pPr>
                        <w:ind w:left="1276" w:hanging="709"/>
                        <w:jc w:val="both"/>
                        <w:rPr>
                          <w:rFonts w:ascii="Arial" w:hAnsi="Arial"/>
                          <w:i/>
                          <w:color w:val="262626" w:themeColor="text1" w:themeTint="D9"/>
                          <w:sz w:val="22"/>
                          <w:szCs w:val="22"/>
                        </w:rPr>
                      </w:pPr>
                    </w:p>
                    <w:p w14:paraId="2470CAB2" w14:textId="4545959F" w:rsidR="00956CBA" w:rsidRPr="00956CBA" w:rsidRDefault="00956CBA" w:rsidP="00956CBA">
                      <w:pPr>
                        <w:ind w:left="1276" w:hanging="709"/>
                        <w:jc w:val="both"/>
                        <w:rPr>
                          <w:rFonts w:ascii="Arial" w:hAnsi="Arial"/>
                          <w:i/>
                          <w:color w:val="262626" w:themeColor="text1" w:themeTint="D9"/>
                          <w:sz w:val="22"/>
                          <w:szCs w:val="22"/>
                          <w:u w:val="single"/>
                        </w:rPr>
                      </w:pPr>
                      <w:r w:rsidRPr="00956CBA">
                        <w:rPr>
                          <w:rFonts w:ascii="Arial" w:hAnsi="Arial"/>
                          <w:i/>
                          <w:color w:val="262626" w:themeColor="text1" w:themeTint="D9"/>
                          <w:sz w:val="22"/>
                          <w:szCs w:val="22"/>
                        </w:rPr>
                        <w:t xml:space="preserve">5.3.2.2. </w:t>
                      </w:r>
                      <w:r w:rsidRPr="00956CBA">
                        <w:rPr>
                          <w:rFonts w:ascii="Arial" w:hAnsi="Arial"/>
                          <w:i/>
                          <w:color w:val="262626" w:themeColor="text1" w:themeTint="D9"/>
                          <w:sz w:val="22"/>
                          <w:szCs w:val="22"/>
                          <w:u w:val="single"/>
                        </w:rPr>
                        <w:t>Gestión normativa 2: Control de arrendamientos con incentivo del 50% del impuesto predial a quienes tengan ocupada la totalidad de la edificación con vivienda (E5.2-N2)</w:t>
                      </w:r>
                    </w:p>
                    <w:p w14:paraId="1D0A80BF" w14:textId="77777777" w:rsidR="00956CBA" w:rsidRPr="00956CBA" w:rsidRDefault="00956CBA" w:rsidP="00956CBA">
                      <w:pPr>
                        <w:ind w:left="1276" w:hanging="709"/>
                        <w:jc w:val="both"/>
                        <w:rPr>
                          <w:rFonts w:ascii="Arial" w:hAnsi="Arial"/>
                          <w:i/>
                          <w:color w:val="262626" w:themeColor="text1" w:themeTint="D9"/>
                          <w:sz w:val="22"/>
                          <w:szCs w:val="22"/>
                        </w:rPr>
                      </w:pPr>
                    </w:p>
                    <w:p w14:paraId="0D095183" w14:textId="1989BD5F" w:rsidR="00956CBA" w:rsidRPr="00956CBA" w:rsidRDefault="00956CBA" w:rsidP="00956CBA">
                      <w:pPr>
                        <w:ind w:left="1276" w:hanging="709"/>
                        <w:jc w:val="both"/>
                        <w:rPr>
                          <w:rFonts w:ascii="Arial" w:hAnsi="Arial"/>
                          <w:i/>
                          <w:color w:val="262626" w:themeColor="text1" w:themeTint="D9"/>
                          <w:sz w:val="22"/>
                          <w:szCs w:val="22"/>
                          <w:u w:val="single"/>
                        </w:rPr>
                      </w:pPr>
                      <w:r w:rsidRPr="00956CBA">
                        <w:rPr>
                          <w:rFonts w:ascii="Arial" w:hAnsi="Arial"/>
                          <w:i/>
                          <w:color w:val="262626" w:themeColor="text1" w:themeTint="D9"/>
                          <w:sz w:val="22"/>
                          <w:szCs w:val="22"/>
                        </w:rPr>
                        <w:t xml:space="preserve">5.3.2.3. </w:t>
                      </w:r>
                      <w:r w:rsidRPr="00956CBA">
                        <w:rPr>
                          <w:rFonts w:ascii="Arial" w:hAnsi="Arial"/>
                          <w:i/>
                          <w:color w:val="262626" w:themeColor="text1" w:themeTint="D9"/>
                          <w:sz w:val="22"/>
                          <w:szCs w:val="22"/>
                          <w:u w:val="single"/>
                        </w:rPr>
                        <w:t>Gestión normativa 3: Vivienda patrimonial con carácter social en el CHQ (E5.2-N3)</w:t>
                      </w:r>
                    </w:p>
                    <w:p w14:paraId="0A281726" w14:textId="77777777" w:rsidR="00956CBA" w:rsidRPr="00956CBA" w:rsidRDefault="00956CBA" w:rsidP="00956CBA">
                      <w:pPr>
                        <w:ind w:left="1276" w:hanging="709"/>
                        <w:jc w:val="both"/>
                        <w:rPr>
                          <w:rFonts w:ascii="Arial" w:hAnsi="Arial"/>
                          <w:i/>
                          <w:color w:val="262626" w:themeColor="text1" w:themeTint="D9"/>
                          <w:sz w:val="22"/>
                          <w:szCs w:val="22"/>
                        </w:rPr>
                      </w:pPr>
                    </w:p>
                    <w:p w14:paraId="21D68A76" w14:textId="00335804" w:rsidR="00F43A04" w:rsidRPr="001F299C" w:rsidRDefault="00F43A04" w:rsidP="001F299C">
                      <w:pPr>
                        <w:ind w:left="1276" w:right="701"/>
                        <w:jc w:val="both"/>
                        <w:rPr>
                          <w:rFonts w:ascii="Arial" w:hAnsi="Arial"/>
                          <w:color w:val="262626" w:themeColor="text1" w:themeTint="D9"/>
                          <w:sz w:val="22"/>
                          <w:szCs w:val="22"/>
                        </w:rPr>
                      </w:pPr>
                    </w:p>
                  </w:txbxContent>
                </v:textbox>
                <w10:wrap type="topAndBottom"/>
              </v:shape>
            </w:pict>
          </mc:Fallback>
        </mc:AlternateContent>
      </w:r>
      <w:bookmarkEnd w:id="5"/>
    </w:p>
    <w:p w14:paraId="3137681A" w14:textId="77777777" w:rsidR="00956CBA" w:rsidRPr="007F04DE" w:rsidRDefault="00956CBA" w:rsidP="00575430">
      <w:pPr>
        <w:rPr>
          <w:rFonts w:ascii="Arial" w:hAnsi="Arial"/>
          <w:color w:val="000000"/>
          <w:sz w:val="22"/>
          <w:szCs w:val="22"/>
          <w:lang w:val="es-ES"/>
        </w:rPr>
      </w:pPr>
    </w:p>
    <w:p w14:paraId="7EE4267D" w14:textId="2EB40051" w:rsidR="00206A90" w:rsidRPr="007F04DE" w:rsidRDefault="00206A90" w:rsidP="004C6109">
      <w:pPr>
        <w:pStyle w:val="21AnlisisdelaEstrategia-Proyecto"/>
        <w:rPr>
          <w:lang w:val="es-ES"/>
        </w:rPr>
      </w:pPr>
      <w:bookmarkStart w:id="6" w:name="_Toc526368344"/>
      <w:bookmarkStart w:id="7" w:name="_Toc526368742"/>
      <w:bookmarkStart w:id="8" w:name="_Toc526369189"/>
      <w:bookmarkStart w:id="9" w:name="_Toc526369789"/>
      <w:r w:rsidRPr="007F04DE">
        <w:rPr>
          <w:lang w:val="es-ES"/>
        </w:rPr>
        <w:t>Análisis de</w:t>
      </w:r>
      <w:r w:rsidR="0036677D" w:rsidRPr="007F04DE">
        <w:rPr>
          <w:lang w:val="es-ES"/>
        </w:rPr>
        <w:t>l Eje 5</w:t>
      </w:r>
      <w:r w:rsidR="007D1A9E" w:rsidRPr="007F04DE">
        <w:rPr>
          <w:lang w:val="es-ES"/>
        </w:rPr>
        <w:t>/</w:t>
      </w:r>
      <w:r w:rsidRPr="007F04DE">
        <w:rPr>
          <w:lang w:val="es-ES"/>
        </w:rPr>
        <w:t>Estra</w:t>
      </w:r>
      <w:r w:rsidR="001D7A97" w:rsidRPr="007F04DE">
        <w:rPr>
          <w:lang w:val="es-ES"/>
        </w:rPr>
        <w:t>tegia 1</w:t>
      </w:r>
      <w:bookmarkEnd w:id="6"/>
      <w:bookmarkEnd w:id="7"/>
      <w:bookmarkEnd w:id="8"/>
      <w:bookmarkEnd w:id="9"/>
    </w:p>
    <w:p w14:paraId="15F406B2" w14:textId="77777777" w:rsidR="007D1A9E" w:rsidRPr="007F04DE" w:rsidRDefault="007D1A9E" w:rsidP="007D1A9E">
      <w:pPr>
        <w:pStyle w:val="21AnlisisdelaEstrategia-Proyecto"/>
        <w:numPr>
          <w:ilvl w:val="0"/>
          <w:numId w:val="0"/>
        </w:numPr>
        <w:ind w:left="1287"/>
        <w:rPr>
          <w:lang w:val="es-ES"/>
        </w:rPr>
      </w:pPr>
    </w:p>
    <w:p w14:paraId="37F330D0" w14:textId="5BAE7CD6" w:rsidR="00B47630" w:rsidRPr="007F04DE" w:rsidRDefault="007F04DE" w:rsidP="00540DC7">
      <w:pPr>
        <w:ind w:left="1287"/>
        <w:jc w:val="both"/>
        <w:rPr>
          <w:rFonts w:ascii="Arial" w:hAnsi="Arial"/>
          <w:lang w:val="es-ES"/>
        </w:rPr>
      </w:pPr>
      <w:r w:rsidRPr="007F04DE">
        <w:rPr>
          <w:rFonts w:ascii="Arial" w:hAnsi="Arial"/>
          <w:sz w:val="22"/>
          <w:szCs w:val="22"/>
          <w:lang w:val="es-ES"/>
        </w:rPr>
        <w:t xml:space="preserve">El diagnóstico del cual parte el Eje 5 identifica zonas de densidad alta, en las que se determina que existe hacinamiento; zonas de densidad baja en las que se sugiere que existe un potencial para albergar mayor población; y zonas de densidad media, como se muestra en la </w:t>
      </w:r>
      <w:r w:rsidRPr="007F04DE">
        <w:rPr>
          <w:rFonts w:ascii="Arial" w:hAnsi="Arial"/>
          <w:sz w:val="22"/>
          <w:szCs w:val="22"/>
          <w:u w:val="single"/>
          <w:lang w:val="es-ES"/>
        </w:rPr>
        <w:t>tabla 1</w:t>
      </w:r>
      <w:r w:rsidRPr="007F04DE">
        <w:rPr>
          <w:rFonts w:ascii="Arial" w:hAnsi="Arial"/>
          <w:lang w:val="es-ES"/>
        </w:rPr>
        <w:t>.</w:t>
      </w:r>
    </w:p>
    <w:p w14:paraId="65BC3128" w14:textId="77777777" w:rsidR="0028062D" w:rsidRPr="007F04DE" w:rsidRDefault="0028062D" w:rsidP="00540DC7">
      <w:pPr>
        <w:ind w:left="1287"/>
        <w:jc w:val="both"/>
        <w:rPr>
          <w:rFonts w:ascii="Arial" w:hAnsi="Arial"/>
          <w:lang w:val="es-ES"/>
        </w:rPr>
      </w:pPr>
    </w:p>
    <w:p w14:paraId="7FB6A584" w14:textId="0B31B8C5" w:rsidR="0028062D" w:rsidRPr="007F04DE" w:rsidRDefault="00C14DD5" w:rsidP="00C14DD5">
      <w:pPr>
        <w:ind w:left="1287"/>
        <w:jc w:val="center"/>
        <w:rPr>
          <w:rFonts w:ascii="Arial" w:hAnsi="Arial"/>
          <w:b/>
          <w:sz w:val="22"/>
          <w:lang w:val="es-ES"/>
        </w:rPr>
      </w:pPr>
      <w:r w:rsidRPr="007F04DE">
        <w:rPr>
          <w:rFonts w:ascii="Arial" w:hAnsi="Arial"/>
          <w:b/>
          <w:sz w:val="22"/>
          <w:lang w:val="es-ES"/>
        </w:rPr>
        <w:t>Tabla 1: Densidad habitacional del Centro Histórico</w:t>
      </w:r>
    </w:p>
    <w:p w14:paraId="4DB19BDA" w14:textId="7212AB36" w:rsidR="007D1A9E" w:rsidRPr="007F04DE" w:rsidRDefault="00B47630" w:rsidP="0028062D">
      <w:pPr>
        <w:ind w:left="1287"/>
        <w:jc w:val="both"/>
        <w:rPr>
          <w:rFonts w:ascii="Arial" w:hAnsi="Arial" w:cs="Arial"/>
          <w:lang w:val="es-ES"/>
        </w:rPr>
      </w:pPr>
      <w:r w:rsidRPr="007F04DE">
        <w:rPr>
          <w:noProof/>
          <w:lang w:val="es-ES" w:eastAsia="es-ES"/>
        </w:rPr>
        <w:drawing>
          <wp:anchor distT="0" distB="0" distL="114300" distR="114300" simplePos="0" relativeHeight="251659264" behindDoc="0" locked="0" layoutInCell="1" allowOverlap="1" wp14:anchorId="74F56224" wp14:editId="031B214E">
            <wp:simplePos x="0" y="0"/>
            <wp:positionH relativeFrom="column">
              <wp:posOffset>818515</wp:posOffset>
            </wp:positionH>
            <wp:positionV relativeFrom="paragraph">
              <wp:posOffset>3175</wp:posOffset>
            </wp:positionV>
            <wp:extent cx="4524375" cy="1825625"/>
            <wp:effectExtent l="0" t="0" r="0" b="3175"/>
            <wp:wrapTopAndBottom/>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182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19DE" w:rsidRPr="007F04DE">
        <w:rPr>
          <w:rFonts w:ascii="Arial" w:hAnsi="Arial" w:cs="Arial"/>
          <w:i/>
          <w:iCs/>
          <w:lang w:val="es-ES"/>
        </w:rPr>
        <w:t xml:space="preserve">Elaboración: IMP-Oficina Plan CHQ. Fuente: INEC, 2010. </w:t>
      </w:r>
      <w:r w:rsidRPr="007F04DE">
        <w:rPr>
          <w:rFonts w:ascii="Arial" w:hAnsi="Arial" w:cs="Arial"/>
          <w:lang w:val="es-ES"/>
        </w:rPr>
        <w:t xml:space="preserve">Tomado de: </w:t>
      </w:r>
      <w:r w:rsidR="002B19DE" w:rsidRPr="007F04DE">
        <w:rPr>
          <w:rFonts w:ascii="Arial" w:hAnsi="Arial" w:cs="Arial"/>
          <w:lang w:val="es-ES"/>
        </w:rPr>
        <w:t xml:space="preserve">IMP (2018) </w:t>
      </w:r>
      <w:r w:rsidRPr="007F04DE">
        <w:rPr>
          <w:rFonts w:ascii="Arial" w:hAnsi="Arial" w:cs="Arial"/>
          <w:i/>
          <w:lang w:val="es-ES"/>
        </w:rPr>
        <w:t xml:space="preserve">Plan de Desarrollo Integral del Centro Histórico de Quito (Plan Parcial) </w:t>
      </w:r>
      <w:r w:rsidR="0028062D" w:rsidRPr="007F04DE">
        <w:rPr>
          <w:rFonts w:ascii="Arial" w:hAnsi="Arial" w:cs="Arial"/>
          <w:i/>
          <w:lang w:val="es-ES"/>
        </w:rPr>
        <w:t xml:space="preserve">– IMP </w:t>
      </w:r>
      <w:r w:rsidRPr="007F04DE">
        <w:rPr>
          <w:rFonts w:ascii="Arial" w:hAnsi="Arial" w:cs="Arial"/>
          <w:i/>
          <w:lang w:val="es-ES"/>
        </w:rPr>
        <w:t>(versión al 18 de junio del 2018).</w:t>
      </w:r>
      <w:r w:rsidRPr="007F04DE">
        <w:rPr>
          <w:rFonts w:ascii="Arial" w:hAnsi="Arial" w:cs="Arial"/>
          <w:lang w:val="es-ES"/>
        </w:rPr>
        <w:t xml:space="preserve"> </w:t>
      </w:r>
    </w:p>
    <w:p w14:paraId="45F7C5CF" w14:textId="77777777" w:rsidR="00AF5EC4" w:rsidRPr="007F04DE" w:rsidRDefault="00AF5EC4" w:rsidP="00AF5EC4">
      <w:pPr>
        <w:pStyle w:val="Prrafodelista"/>
        <w:ind w:left="1287"/>
        <w:rPr>
          <w:rFonts w:ascii="Arial" w:hAnsi="Arial"/>
          <w:b/>
          <w:sz w:val="22"/>
          <w:szCs w:val="22"/>
          <w:lang w:val="es-ES"/>
        </w:rPr>
      </w:pPr>
    </w:p>
    <w:p w14:paraId="3C52FE24" w14:textId="7B76AC08" w:rsidR="00404DFE" w:rsidRPr="007F04DE" w:rsidRDefault="00652111" w:rsidP="00402354">
      <w:pPr>
        <w:ind w:left="1276" w:firstLine="11"/>
        <w:jc w:val="both"/>
        <w:rPr>
          <w:rFonts w:ascii="Arial" w:hAnsi="Arial" w:cs="Arial"/>
          <w:sz w:val="22"/>
          <w:szCs w:val="22"/>
          <w:lang w:val="es-ES"/>
        </w:rPr>
      </w:pPr>
      <w:r w:rsidRPr="007F04DE">
        <w:rPr>
          <w:rFonts w:ascii="Arial" w:hAnsi="Arial" w:cs="Arial"/>
          <w:sz w:val="22"/>
          <w:szCs w:val="22"/>
          <w:lang w:val="es-ES"/>
        </w:rPr>
        <w:t>A partir de este diagnóstico, la estrategia que se plantea es promover la densificación de las zonas identificadas con densidad baja</w:t>
      </w:r>
      <w:r w:rsidR="00D85611" w:rsidRPr="007F04DE">
        <w:rPr>
          <w:rFonts w:ascii="Arial" w:hAnsi="Arial" w:cs="Arial"/>
          <w:sz w:val="22"/>
          <w:szCs w:val="22"/>
          <w:lang w:val="es-ES"/>
        </w:rPr>
        <w:t>,</w:t>
      </w:r>
      <w:r w:rsidRPr="007F04DE">
        <w:rPr>
          <w:rFonts w:ascii="Arial" w:hAnsi="Arial" w:cs="Arial"/>
          <w:sz w:val="22"/>
          <w:szCs w:val="22"/>
          <w:lang w:val="es-ES"/>
        </w:rPr>
        <w:t xml:space="preserve"> mediante la reubicación de la población hacinada en las zonas de densidad alta</w:t>
      </w:r>
      <w:r w:rsidR="002B19DE" w:rsidRPr="007F04DE">
        <w:rPr>
          <w:rFonts w:ascii="Arial" w:hAnsi="Arial" w:cs="Arial"/>
          <w:sz w:val="22"/>
          <w:szCs w:val="22"/>
          <w:lang w:val="es-ES"/>
        </w:rPr>
        <w:t>.</w:t>
      </w:r>
      <w:r w:rsidRPr="007F04DE">
        <w:rPr>
          <w:rFonts w:ascii="Arial" w:hAnsi="Arial" w:cs="Arial"/>
          <w:sz w:val="22"/>
          <w:szCs w:val="22"/>
          <w:lang w:val="es-ES"/>
        </w:rPr>
        <w:t xml:space="preserve"> </w:t>
      </w:r>
      <w:r w:rsidR="007F04DE" w:rsidRPr="007F04DE">
        <w:rPr>
          <w:rFonts w:ascii="Arial" w:hAnsi="Arial" w:cs="Arial"/>
          <w:sz w:val="22"/>
          <w:szCs w:val="22"/>
          <w:lang w:val="es-ES"/>
        </w:rPr>
        <w:t>Al respecto, la estrategia menciona</w:t>
      </w:r>
      <w:r w:rsidR="007F04DE" w:rsidRPr="007F04DE">
        <w:rPr>
          <w:rStyle w:val="Refdenotaalpie"/>
          <w:rFonts w:ascii="Arial" w:hAnsi="Arial" w:cs="Arial"/>
          <w:sz w:val="22"/>
          <w:szCs w:val="22"/>
          <w:lang w:val="es-ES"/>
        </w:rPr>
        <w:footnoteReference w:id="1"/>
      </w:r>
      <w:r w:rsidR="007F04DE" w:rsidRPr="007F04DE">
        <w:rPr>
          <w:rFonts w:ascii="Arial" w:hAnsi="Arial" w:cs="Arial"/>
          <w:sz w:val="22"/>
          <w:szCs w:val="22"/>
          <w:lang w:val="es-ES"/>
        </w:rPr>
        <w:t xml:space="preserve">: “Para mantener una densidad de 300 hab/ha las manzanas deberían estar habitadas por 16.800 personas, lo que en este caso puntual arroja un excedente de 5.537 personas, quienes podrían libremente relocalizarse o ubicarse en lugares donde haya mejor calidad habitacional y no exista hacinamiento”. </w:t>
      </w:r>
      <w:r w:rsidR="00EA1B1C" w:rsidRPr="007F04DE">
        <w:rPr>
          <w:rFonts w:ascii="Arial" w:hAnsi="Arial" w:cs="Arial"/>
          <w:sz w:val="22"/>
          <w:szCs w:val="22"/>
          <w:lang w:val="es-ES"/>
        </w:rPr>
        <w:t xml:space="preserve">Además, el PCHQ toma en cuenta la proyección de crecimiento poblacional de Quito (+2,2 %) y establece como objetivo alcanzar una densidad de </w:t>
      </w:r>
      <w:r w:rsidR="00EC284F" w:rsidRPr="007F04DE">
        <w:rPr>
          <w:rFonts w:ascii="Arial" w:hAnsi="Arial" w:cs="Arial"/>
          <w:sz w:val="22"/>
          <w:szCs w:val="22"/>
          <w:lang w:val="es-ES"/>
        </w:rPr>
        <w:t>150 hab/ha al 2030. Esto implica revertir la tendencia de crecimiento del centro de – 2,2 % a +2,</w:t>
      </w:r>
      <w:r w:rsidR="00FF49B2" w:rsidRPr="007F04DE">
        <w:rPr>
          <w:rFonts w:ascii="Arial" w:hAnsi="Arial" w:cs="Arial"/>
          <w:sz w:val="22"/>
          <w:szCs w:val="22"/>
          <w:lang w:val="es-ES"/>
        </w:rPr>
        <w:t>1%. E</w:t>
      </w:r>
      <w:r w:rsidR="00386FB2" w:rsidRPr="007F04DE">
        <w:rPr>
          <w:rFonts w:ascii="Arial" w:hAnsi="Arial" w:cs="Arial"/>
          <w:sz w:val="22"/>
          <w:szCs w:val="22"/>
          <w:lang w:val="es-ES"/>
        </w:rPr>
        <w:t xml:space="preserve">l PCHQ calcula un potencial de </w:t>
      </w:r>
      <w:r w:rsidR="00FF49B2" w:rsidRPr="007F04DE">
        <w:rPr>
          <w:rFonts w:ascii="Arial" w:hAnsi="Arial" w:cs="Arial"/>
          <w:sz w:val="22"/>
          <w:szCs w:val="22"/>
          <w:lang w:val="es-ES"/>
        </w:rPr>
        <w:t>1486 unidades de vivienda en base al área subutilizada.</w:t>
      </w:r>
    </w:p>
    <w:p w14:paraId="5E65D8CB" w14:textId="77777777" w:rsidR="006E6485" w:rsidRPr="007F04DE" w:rsidRDefault="006E6485" w:rsidP="00402354">
      <w:pPr>
        <w:ind w:left="1276" w:firstLine="11"/>
        <w:jc w:val="both"/>
        <w:rPr>
          <w:rFonts w:ascii="Arial" w:hAnsi="Arial" w:cs="Arial"/>
          <w:sz w:val="22"/>
          <w:szCs w:val="22"/>
          <w:lang w:val="es-ES"/>
        </w:rPr>
      </w:pPr>
    </w:p>
    <w:p w14:paraId="284C5F7D" w14:textId="4A705E13" w:rsidR="005925ED" w:rsidRPr="007F04DE" w:rsidRDefault="006E6485" w:rsidP="00402354">
      <w:pPr>
        <w:ind w:left="1276" w:firstLine="11"/>
        <w:jc w:val="both"/>
        <w:rPr>
          <w:rFonts w:ascii="Arial" w:hAnsi="Arial"/>
          <w:color w:val="262626" w:themeColor="text1" w:themeTint="D9"/>
          <w:sz w:val="22"/>
          <w:szCs w:val="22"/>
          <w:lang w:val="es-ES"/>
        </w:rPr>
      </w:pPr>
      <w:r w:rsidRPr="007F04DE">
        <w:rPr>
          <w:rFonts w:ascii="Arial" w:hAnsi="Arial" w:cs="Arial"/>
          <w:sz w:val="22"/>
          <w:szCs w:val="22"/>
          <w:lang w:val="es-ES"/>
        </w:rPr>
        <w:t>La estrategia busca promover el uso mixto, combinando áreas residenciales con zonas comerciales.</w:t>
      </w:r>
      <w:r w:rsidR="00995F85" w:rsidRPr="007F04DE">
        <w:rPr>
          <w:rFonts w:ascii="Arial" w:hAnsi="Arial" w:cs="Arial"/>
          <w:sz w:val="22"/>
          <w:szCs w:val="22"/>
          <w:lang w:val="es-ES"/>
        </w:rPr>
        <w:t xml:space="preserve"> </w:t>
      </w:r>
      <w:r w:rsidR="00BF3444" w:rsidRPr="007F04DE">
        <w:rPr>
          <w:rFonts w:ascii="Arial" w:hAnsi="Arial" w:cs="Arial"/>
          <w:sz w:val="22"/>
          <w:szCs w:val="22"/>
          <w:lang w:val="es-ES"/>
        </w:rPr>
        <w:t>En tal sentido, el Proyecto 1, “</w:t>
      </w:r>
      <w:r w:rsidR="00BF3444" w:rsidRPr="007F04DE">
        <w:rPr>
          <w:rFonts w:ascii="Arial" w:hAnsi="Arial"/>
          <w:i/>
          <w:color w:val="262626" w:themeColor="text1" w:themeTint="D9"/>
          <w:sz w:val="22"/>
          <w:szCs w:val="22"/>
          <w:lang w:val="es-ES"/>
        </w:rPr>
        <w:t xml:space="preserve">Arriendo de vivienda municipal con carácter </w:t>
      </w:r>
      <w:r w:rsidR="00BF3444">
        <w:rPr>
          <w:rFonts w:ascii="Arial" w:hAnsi="Arial"/>
          <w:i/>
          <w:color w:val="262626" w:themeColor="text1" w:themeTint="D9"/>
          <w:sz w:val="22"/>
          <w:szCs w:val="22"/>
          <w:lang w:val="es-ES"/>
        </w:rPr>
        <w:t>social” contempla</w:t>
      </w:r>
      <w:r w:rsidR="00BF3444" w:rsidRPr="007F04DE">
        <w:rPr>
          <w:rFonts w:ascii="Arial" w:hAnsi="Arial"/>
          <w:color w:val="262626" w:themeColor="text1" w:themeTint="D9"/>
          <w:sz w:val="22"/>
          <w:szCs w:val="22"/>
          <w:lang w:val="es-ES"/>
        </w:rPr>
        <w:t xml:space="preserve"> el uso de los inmuebles de propiedad municipal para generar una oferta de vivienda de alquiler, priorizando el acceso a los sectores de menores recursos (quintiles 1 y 2). </w:t>
      </w:r>
    </w:p>
    <w:p w14:paraId="08CD8EB5" w14:textId="77777777" w:rsidR="005925ED" w:rsidRPr="007F04DE" w:rsidRDefault="005925ED" w:rsidP="00402354">
      <w:pPr>
        <w:ind w:left="1276" w:firstLine="11"/>
        <w:jc w:val="both"/>
        <w:rPr>
          <w:rFonts w:ascii="Arial" w:hAnsi="Arial"/>
          <w:color w:val="262626" w:themeColor="text1" w:themeTint="D9"/>
          <w:sz w:val="22"/>
          <w:szCs w:val="22"/>
          <w:lang w:val="es-ES"/>
        </w:rPr>
      </w:pPr>
    </w:p>
    <w:p w14:paraId="5F08F853" w14:textId="3EF64BD5" w:rsidR="006E6485" w:rsidRPr="007F04DE" w:rsidRDefault="001D7A97" w:rsidP="00D119E9">
      <w:pPr>
        <w:pStyle w:val="211"/>
        <w:ind w:left="1985" w:hanging="709"/>
        <w:rPr>
          <w:lang w:val="es-ES"/>
        </w:rPr>
      </w:pPr>
      <w:bookmarkStart w:id="10" w:name="_Toc526368345"/>
      <w:bookmarkStart w:id="11" w:name="_Toc526368743"/>
      <w:bookmarkStart w:id="12" w:name="_Toc526369190"/>
      <w:bookmarkStart w:id="13" w:name="_Toc526369790"/>
      <w:r w:rsidRPr="007F04DE">
        <w:rPr>
          <w:lang w:val="es-ES"/>
        </w:rPr>
        <w:t>Análisis de los</w:t>
      </w:r>
      <w:r w:rsidR="00956CBA" w:rsidRPr="007F04DE">
        <w:rPr>
          <w:lang w:val="es-ES"/>
        </w:rPr>
        <w:t xml:space="preserve"> </w:t>
      </w:r>
      <w:r w:rsidR="005925ED" w:rsidRPr="007F04DE">
        <w:rPr>
          <w:lang w:val="es-ES"/>
        </w:rPr>
        <w:t>Proyecto</w:t>
      </w:r>
      <w:r w:rsidRPr="007F04DE">
        <w:rPr>
          <w:lang w:val="es-ES"/>
        </w:rPr>
        <w:t>s</w:t>
      </w:r>
      <w:r w:rsidR="005925ED" w:rsidRPr="007F04DE">
        <w:rPr>
          <w:lang w:val="es-ES"/>
        </w:rPr>
        <w:t xml:space="preserve"> 1</w:t>
      </w:r>
      <w:r w:rsidR="00956CBA" w:rsidRPr="007F04DE">
        <w:rPr>
          <w:lang w:val="es-ES"/>
        </w:rPr>
        <w:t xml:space="preserve"> </w:t>
      </w:r>
      <w:r w:rsidRPr="007F04DE">
        <w:rPr>
          <w:lang w:val="es-ES"/>
        </w:rPr>
        <w:t xml:space="preserve">y 2 </w:t>
      </w:r>
      <w:r w:rsidR="00956CBA" w:rsidRPr="007F04DE">
        <w:rPr>
          <w:lang w:val="es-ES"/>
        </w:rPr>
        <w:t>de la Estrategia 1- Eje 5</w:t>
      </w:r>
      <w:bookmarkEnd w:id="10"/>
      <w:bookmarkEnd w:id="11"/>
      <w:bookmarkEnd w:id="12"/>
      <w:bookmarkEnd w:id="13"/>
    </w:p>
    <w:p w14:paraId="77EF9392" w14:textId="77777777" w:rsidR="00956CBA" w:rsidRPr="007F04DE" w:rsidRDefault="00956CBA" w:rsidP="00F80AC6">
      <w:pPr>
        <w:ind w:left="1985"/>
        <w:jc w:val="both"/>
        <w:rPr>
          <w:rFonts w:ascii="Arial" w:hAnsi="Arial" w:cs="Arial"/>
          <w:sz w:val="22"/>
          <w:szCs w:val="22"/>
          <w:lang w:val="es-ES"/>
        </w:rPr>
      </w:pPr>
    </w:p>
    <w:p w14:paraId="4CF91CD9" w14:textId="42851DB1" w:rsidR="00F80AC6" w:rsidRPr="007F04DE" w:rsidRDefault="00956CBA" w:rsidP="00F80AC6">
      <w:pPr>
        <w:ind w:left="1985"/>
        <w:jc w:val="both"/>
        <w:rPr>
          <w:rFonts w:ascii="Arial" w:hAnsi="Arial" w:cs="Arial"/>
          <w:sz w:val="22"/>
          <w:szCs w:val="22"/>
          <w:lang w:val="es-ES"/>
        </w:rPr>
      </w:pPr>
      <w:r w:rsidRPr="007F04DE">
        <w:rPr>
          <w:rFonts w:ascii="Arial" w:hAnsi="Arial" w:cs="Arial"/>
          <w:sz w:val="22"/>
          <w:szCs w:val="22"/>
          <w:lang w:val="es-ES"/>
        </w:rPr>
        <w:t>Los proyectos</w:t>
      </w:r>
      <w:r w:rsidR="003961F1" w:rsidRPr="007F04DE">
        <w:rPr>
          <w:rFonts w:ascii="Arial" w:hAnsi="Arial" w:cs="Arial"/>
          <w:sz w:val="22"/>
          <w:szCs w:val="22"/>
          <w:lang w:val="es-ES"/>
        </w:rPr>
        <w:t xml:space="preserve"> se sustenta</w:t>
      </w:r>
      <w:r w:rsidRPr="007F04DE">
        <w:rPr>
          <w:rFonts w:ascii="Arial" w:hAnsi="Arial" w:cs="Arial"/>
          <w:sz w:val="22"/>
          <w:szCs w:val="22"/>
          <w:lang w:val="es-ES"/>
        </w:rPr>
        <w:t>n</w:t>
      </w:r>
      <w:r w:rsidR="003961F1" w:rsidRPr="007F04DE">
        <w:rPr>
          <w:rFonts w:ascii="Arial" w:hAnsi="Arial" w:cs="Arial"/>
          <w:sz w:val="22"/>
          <w:szCs w:val="22"/>
          <w:lang w:val="es-ES"/>
        </w:rPr>
        <w:t xml:space="preserve"> en información de diagnós</w:t>
      </w:r>
      <w:r w:rsidR="00155369" w:rsidRPr="007F04DE">
        <w:rPr>
          <w:rFonts w:ascii="Arial" w:hAnsi="Arial" w:cs="Arial"/>
          <w:sz w:val="22"/>
          <w:szCs w:val="22"/>
          <w:lang w:val="es-ES"/>
        </w:rPr>
        <w:t>tico con alto grad</w:t>
      </w:r>
      <w:r w:rsidR="00AE4E15" w:rsidRPr="007F04DE">
        <w:rPr>
          <w:rFonts w:ascii="Arial" w:hAnsi="Arial" w:cs="Arial"/>
          <w:sz w:val="22"/>
          <w:szCs w:val="22"/>
          <w:lang w:val="es-ES"/>
        </w:rPr>
        <w:t>o de detalle</w:t>
      </w:r>
      <w:r w:rsidR="00F80AC6" w:rsidRPr="007F04DE">
        <w:rPr>
          <w:rFonts w:ascii="Arial" w:hAnsi="Arial" w:cs="Arial"/>
          <w:sz w:val="22"/>
          <w:szCs w:val="22"/>
          <w:lang w:val="es-ES"/>
        </w:rPr>
        <w:t>. Se identifica que la tenencia de vivienda en el CHQ presenta un 49 % de arriendo actualmente. Esto refleja una tendencia más alta que en la provincia</w:t>
      </w:r>
      <w:r w:rsidR="00F80AC6" w:rsidRPr="007F04DE">
        <w:rPr>
          <w:rStyle w:val="Refdenotaalpie"/>
          <w:rFonts w:ascii="Arial" w:hAnsi="Arial" w:cs="Arial"/>
          <w:sz w:val="22"/>
          <w:szCs w:val="22"/>
          <w:lang w:val="es-ES"/>
        </w:rPr>
        <w:footnoteReference w:id="2"/>
      </w:r>
      <w:r w:rsidR="00F80AC6" w:rsidRPr="007F04DE">
        <w:rPr>
          <w:rFonts w:ascii="Arial" w:hAnsi="Arial" w:cs="Arial"/>
          <w:sz w:val="22"/>
          <w:szCs w:val="22"/>
          <w:lang w:val="es-ES"/>
        </w:rPr>
        <w:t xml:space="preserve"> y en el país</w:t>
      </w:r>
      <w:r w:rsidR="00F80AC6" w:rsidRPr="007F04DE">
        <w:rPr>
          <w:rStyle w:val="Refdenotaalpie"/>
          <w:rFonts w:ascii="Arial" w:hAnsi="Arial" w:cs="Arial"/>
          <w:sz w:val="22"/>
          <w:szCs w:val="22"/>
          <w:lang w:val="es-ES"/>
        </w:rPr>
        <w:footnoteReference w:id="3"/>
      </w:r>
      <w:r w:rsidR="00F80AC6" w:rsidRPr="007F04DE">
        <w:rPr>
          <w:rFonts w:ascii="Arial" w:hAnsi="Arial" w:cs="Arial"/>
          <w:sz w:val="22"/>
          <w:szCs w:val="22"/>
          <w:lang w:val="es-ES"/>
        </w:rPr>
        <w:t xml:space="preserve"> en general, en tanto los porcentajes de hogares alquilando </w:t>
      </w:r>
      <w:r w:rsidRPr="007F04DE">
        <w:rPr>
          <w:rFonts w:ascii="Arial" w:hAnsi="Arial" w:cs="Arial"/>
          <w:sz w:val="22"/>
          <w:szCs w:val="22"/>
          <w:lang w:val="es-ES"/>
        </w:rPr>
        <w:t>alcanzan</w:t>
      </w:r>
      <w:r w:rsidR="00F80AC6" w:rsidRPr="007F04DE">
        <w:rPr>
          <w:rFonts w:ascii="Arial" w:hAnsi="Arial" w:cs="Arial"/>
          <w:sz w:val="22"/>
          <w:szCs w:val="22"/>
          <w:lang w:val="es-ES"/>
        </w:rPr>
        <w:t xml:space="preserve"> 36,9 % y 21,4 % respectivamente. </w:t>
      </w:r>
    </w:p>
    <w:p w14:paraId="2E651BFD" w14:textId="77777777" w:rsidR="00956CBA" w:rsidRPr="007F04DE" w:rsidRDefault="00956CBA" w:rsidP="00746DD2">
      <w:pPr>
        <w:ind w:left="1985"/>
        <w:jc w:val="both"/>
        <w:rPr>
          <w:rFonts w:ascii="Arial" w:hAnsi="Arial" w:cs="Arial"/>
          <w:sz w:val="22"/>
          <w:szCs w:val="22"/>
          <w:lang w:val="es-ES"/>
        </w:rPr>
      </w:pPr>
    </w:p>
    <w:p w14:paraId="71466FBE" w14:textId="07D0E10D" w:rsidR="00D119E9" w:rsidRPr="007F04DE" w:rsidRDefault="00AE4E15" w:rsidP="00746DD2">
      <w:pPr>
        <w:ind w:left="1985"/>
        <w:jc w:val="both"/>
        <w:rPr>
          <w:rFonts w:ascii="Arial" w:hAnsi="Arial" w:cs="Arial"/>
          <w:sz w:val="22"/>
          <w:szCs w:val="22"/>
          <w:lang w:val="es-ES"/>
        </w:rPr>
      </w:pPr>
      <w:r w:rsidRPr="007F04DE">
        <w:rPr>
          <w:rFonts w:ascii="Arial" w:hAnsi="Arial" w:cs="Arial"/>
          <w:sz w:val="22"/>
          <w:szCs w:val="22"/>
          <w:lang w:val="es-ES"/>
        </w:rPr>
        <w:lastRenderedPageBreak/>
        <w:t>Distintas investigaciones vienen sustentando los beneficios de</w:t>
      </w:r>
      <w:r w:rsidR="00B333E3" w:rsidRPr="007F04DE">
        <w:rPr>
          <w:rFonts w:ascii="Arial" w:hAnsi="Arial" w:cs="Arial"/>
          <w:sz w:val="22"/>
          <w:szCs w:val="22"/>
          <w:lang w:val="es-ES"/>
        </w:rPr>
        <w:t xml:space="preserve"> las políticas de vivienda de</w:t>
      </w:r>
      <w:r w:rsidRPr="007F04DE">
        <w:rPr>
          <w:rFonts w:ascii="Arial" w:hAnsi="Arial" w:cs="Arial"/>
          <w:sz w:val="22"/>
          <w:szCs w:val="22"/>
          <w:lang w:val="es-ES"/>
        </w:rPr>
        <w:t xml:space="preserve"> alquiler como mecanismo para a</w:t>
      </w:r>
      <w:r w:rsidR="00B333E3" w:rsidRPr="007F04DE">
        <w:rPr>
          <w:rFonts w:ascii="Arial" w:hAnsi="Arial" w:cs="Arial"/>
          <w:sz w:val="22"/>
          <w:szCs w:val="22"/>
          <w:lang w:val="es-ES"/>
        </w:rPr>
        <w:t>frontar los déficits</w:t>
      </w:r>
      <w:r w:rsidR="00F80AC6" w:rsidRPr="007F04DE">
        <w:rPr>
          <w:rStyle w:val="Refdenotaalpie"/>
          <w:rFonts w:ascii="Arial" w:hAnsi="Arial" w:cs="Arial"/>
          <w:sz w:val="22"/>
          <w:szCs w:val="22"/>
          <w:lang w:val="es-ES"/>
        </w:rPr>
        <w:footnoteReference w:id="4"/>
      </w:r>
      <w:r w:rsidR="00F80AC6" w:rsidRPr="007F04DE">
        <w:rPr>
          <w:rFonts w:ascii="Arial" w:hAnsi="Arial" w:cs="Arial"/>
          <w:sz w:val="22"/>
          <w:szCs w:val="22"/>
          <w:lang w:val="es-ES"/>
        </w:rPr>
        <w:t xml:space="preserve">, los cuales se resumen en el </w:t>
      </w:r>
      <w:r w:rsidR="00F80AC6" w:rsidRPr="007F04DE">
        <w:rPr>
          <w:rFonts w:ascii="Arial" w:hAnsi="Arial" w:cs="Arial"/>
          <w:sz w:val="22"/>
          <w:szCs w:val="22"/>
          <w:u w:val="single"/>
          <w:lang w:val="es-ES"/>
        </w:rPr>
        <w:t xml:space="preserve">recuadro </w:t>
      </w:r>
      <w:r w:rsidR="00956CBA" w:rsidRPr="007F04DE">
        <w:rPr>
          <w:rFonts w:ascii="Arial" w:hAnsi="Arial" w:cs="Arial"/>
          <w:sz w:val="22"/>
          <w:szCs w:val="22"/>
          <w:u w:val="single"/>
          <w:lang w:val="es-ES"/>
        </w:rPr>
        <w:t>2</w:t>
      </w:r>
      <w:r w:rsidRPr="007F04DE">
        <w:rPr>
          <w:rFonts w:ascii="Arial" w:hAnsi="Arial" w:cs="Arial"/>
          <w:sz w:val="22"/>
          <w:szCs w:val="22"/>
          <w:lang w:val="es-ES"/>
        </w:rPr>
        <w:t>.</w:t>
      </w:r>
      <w:r w:rsidR="00746DD2" w:rsidRPr="007F04DE">
        <w:rPr>
          <w:rFonts w:ascii="Arial" w:hAnsi="Arial" w:cs="Arial"/>
          <w:sz w:val="22"/>
          <w:szCs w:val="22"/>
          <w:lang w:val="es-ES"/>
        </w:rPr>
        <w:t xml:space="preserve"> </w:t>
      </w:r>
      <w:r w:rsidR="00956CBA" w:rsidRPr="007F04DE">
        <w:rPr>
          <w:rFonts w:ascii="Arial" w:hAnsi="Arial" w:cs="Arial"/>
          <w:sz w:val="22"/>
          <w:szCs w:val="22"/>
          <w:lang w:val="es-ES"/>
        </w:rPr>
        <w:t xml:space="preserve">En tal sentido, la estrategia de generar vivienda en arriendo es una alternativa pertinente de política pública para la atención del déficit y el repoblamiento del CHQ. </w:t>
      </w:r>
    </w:p>
    <w:p w14:paraId="2358DB4B" w14:textId="77777777" w:rsidR="00956CBA" w:rsidRPr="007F04DE" w:rsidRDefault="00956CBA" w:rsidP="00746DD2">
      <w:pPr>
        <w:ind w:left="1985"/>
        <w:jc w:val="both"/>
        <w:rPr>
          <w:rFonts w:ascii="Arial" w:hAnsi="Arial" w:cs="Arial"/>
          <w:sz w:val="22"/>
          <w:szCs w:val="22"/>
          <w:lang w:val="es-ES"/>
        </w:rPr>
      </w:pPr>
    </w:p>
    <w:p w14:paraId="22E19E25" w14:textId="36B4214A" w:rsidR="00956CBA" w:rsidRPr="007F04DE" w:rsidRDefault="00956CBA" w:rsidP="00956CBA">
      <w:pPr>
        <w:jc w:val="center"/>
        <w:rPr>
          <w:rFonts w:ascii="Arial" w:hAnsi="Arial" w:cs="Arial"/>
          <w:sz w:val="22"/>
          <w:u w:val="single"/>
          <w:lang w:val="es-ES"/>
        </w:rPr>
      </w:pPr>
      <w:r w:rsidRPr="007F04DE">
        <w:rPr>
          <w:rFonts w:ascii="Arial" w:hAnsi="Arial" w:cs="Arial"/>
          <w:noProof/>
          <w:sz w:val="22"/>
          <w:szCs w:val="22"/>
          <w:lang w:val="es-ES" w:eastAsia="es-ES"/>
        </w:rPr>
        <mc:AlternateContent>
          <mc:Choice Requires="wps">
            <w:drawing>
              <wp:anchor distT="0" distB="0" distL="114300" distR="114300" simplePos="0" relativeHeight="251660288" behindDoc="0" locked="0" layoutInCell="1" allowOverlap="1" wp14:anchorId="7D0F67A8" wp14:editId="04AFAC46">
                <wp:simplePos x="0" y="0"/>
                <wp:positionH relativeFrom="column">
                  <wp:posOffset>228600</wp:posOffset>
                </wp:positionH>
                <wp:positionV relativeFrom="paragraph">
                  <wp:posOffset>247015</wp:posOffset>
                </wp:positionV>
                <wp:extent cx="5029200" cy="2514600"/>
                <wp:effectExtent l="0" t="0" r="25400" b="25400"/>
                <wp:wrapTopAndBottom/>
                <wp:docPr id="2" name="Cuadro de texto 2"/>
                <wp:cNvGraphicFramePr/>
                <a:graphic xmlns:a="http://schemas.openxmlformats.org/drawingml/2006/main">
                  <a:graphicData uri="http://schemas.microsoft.com/office/word/2010/wordprocessingShape">
                    <wps:wsp>
                      <wps:cNvSpPr txBox="1"/>
                      <wps:spPr>
                        <a:xfrm>
                          <a:off x="0" y="0"/>
                          <a:ext cx="5029200" cy="2514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93DF12" w14:textId="6C6CC6D0" w:rsidR="007F488C" w:rsidRPr="007F488C" w:rsidRDefault="007F488C" w:rsidP="00956CBA">
                            <w:pPr>
                              <w:jc w:val="center"/>
                              <w:rPr>
                                <w:rFonts w:ascii="Arial" w:hAnsi="Arial" w:cs="Arial"/>
                                <w:b/>
                                <w:sz w:val="22"/>
                              </w:rPr>
                            </w:pPr>
                            <w:r w:rsidRPr="007F488C">
                              <w:rPr>
                                <w:rFonts w:ascii="Arial" w:hAnsi="Arial" w:cs="Arial"/>
                                <w:b/>
                                <w:sz w:val="22"/>
                              </w:rPr>
                              <w:t>Beneficios:</w:t>
                            </w:r>
                          </w:p>
                          <w:p w14:paraId="35B498F0" w14:textId="5809FBF4" w:rsidR="00F80AC6" w:rsidRPr="007F488C" w:rsidRDefault="00F80AC6" w:rsidP="007F488C">
                            <w:pPr>
                              <w:pStyle w:val="Prrafodelista"/>
                              <w:numPr>
                                <w:ilvl w:val="0"/>
                                <w:numId w:val="4"/>
                              </w:numPr>
                              <w:jc w:val="center"/>
                              <w:rPr>
                                <w:rFonts w:ascii="Arial" w:hAnsi="Arial" w:cs="Arial"/>
                                <w:sz w:val="22"/>
                              </w:rPr>
                            </w:pPr>
                            <w:r w:rsidRPr="007F488C">
                              <w:rPr>
                                <w:rFonts w:ascii="Arial" w:hAnsi="Arial" w:cs="Arial"/>
                                <w:sz w:val="22"/>
                              </w:rPr>
                              <w:t>Flexibilidad y movilidad (respecto al lugar de residencia para grupos sociales que no se han consolidado laboralmente ni económicamente: jóvenes, migrantes, ancianos, etc.)</w:t>
                            </w:r>
                          </w:p>
                          <w:p w14:paraId="5C6B1A8E" w14:textId="7F11928C" w:rsidR="007F488C" w:rsidRPr="007F488C" w:rsidRDefault="007F488C" w:rsidP="007F488C">
                            <w:pPr>
                              <w:pStyle w:val="Prrafodelista"/>
                              <w:numPr>
                                <w:ilvl w:val="0"/>
                                <w:numId w:val="4"/>
                              </w:numPr>
                              <w:jc w:val="center"/>
                              <w:rPr>
                                <w:rFonts w:ascii="Arial" w:hAnsi="Arial" w:cs="Arial"/>
                                <w:sz w:val="22"/>
                              </w:rPr>
                            </w:pPr>
                            <w:r w:rsidRPr="007F488C">
                              <w:rPr>
                                <w:rFonts w:ascii="Arial" w:hAnsi="Arial" w:cs="Arial"/>
                                <w:sz w:val="22"/>
                              </w:rPr>
                              <w:t>Requiere de menor inversión para los hogares</w:t>
                            </w:r>
                          </w:p>
                          <w:p w14:paraId="1B5B3909" w14:textId="0DDC08FB" w:rsidR="00F80AC6" w:rsidRPr="007F488C" w:rsidRDefault="00F80AC6" w:rsidP="007F488C">
                            <w:pPr>
                              <w:pStyle w:val="Prrafodelista"/>
                              <w:numPr>
                                <w:ilvl w:val="0"/>
                                <w:numId w:val="4"/>
                              </w:numPr>
                              <w:jc w:val="center"/>
                              <w:rPr>
                                <w:rFonts w:ascii="Arial" w:hAnsi="Arial" w:cs="Arial"/>
                                <w:sz w:val="22"/>
                              </w:rPr>
                            </w:pPr>
                            <w:r w:rsidRPr="007F488C">
                              <w:rPr>
                                <w:rFonts w:ascii="Arial" w:hAnsi="Arial" w:cs="Arial"/>
                                <w:sz w:val="22"/>
                              </w:rPr>
                              <w:t>Contribuye a la f</w:t>
                            </w:r>
                            <w:r w:rsidR="007F488C" w:rsidRPr="007F488C">
                              <w:rPr>
                                <w:rFonts w:ascii="Arial" w:hAnsi="Arial" w:cs="Arial"/>
                                <w:sz w:val="22"/>
                              </w:rPr>
                              <w:t>ormación de ciudades compactas</w:t>
                            </w:r>
                          </w:p>
                          <w:p w14:paraId="519F2940" w14:textId="1213ACAA" w:rsidR="00F80AC6" w:rsidRPr="007F488C" w:rsidRDefault="00F80AC6" w:rsidP="007F488C">
                            <w:pPr>
                              <w:pStyle w:val="Prrafodelista"/>
                              <w:numPr>
                                <w:ilvl w:val="0"/>
                                <w:numId w:val="4"/>
                              </w:numPr>
                              <w:jc w:val="center"/>
                              <w:rPr>
                                <w:rFonts w:ascii="Arial" w:hAnsi="Arial" w:cs="Arial"/>
                                <w:sz w:val="22"/>
                              </w:rPr>
                            </w:pPr>
                            <w:r w:rsidRPr="007F488C">
                              <w:rPr>
                                <w:rFonts w:ascii="Arial" w:hAnsi="Arial" w:cs="Arial"/>
                                <w:sz w:val="22"/>
                              </w:rPr>
                              <w:t>Es más económico para los gobiernos generar subsidios para arriendo que para propiedad.</w:t>
                            </w:r>
                          </w:p>
                          <w:p w14:paraId="421E49C9" w14:textId="7CC18030" w:rsidR="00F80AC6" w:rsidRPr="007F488C" w:rsidRDefault="00F80AC6" w:rsidP="007F488C">
                            <w:pPr>
                              <w:pStyle w:val="Prrafodelista"/>
                              <w:numPr>
                                <w:ilvl w:val="0"/>
                                <w:numId w:val="4"/>
                              </w:numPr>
                              <w:jc w:val="center"/>
                              <w:rPr>
                                <w:rFonts w:ascii="Arial" w:hAnsi="Arial" w:cs="Arial"/>
                                <w:sz w:val="22"/>
                              </w:rPr>
                            </w:pPr>
                            <w:r w:rsidRPr="007F488C">
                              <w:rPr>
                                <w:rFonts w:ascii="Arial" w:hAnsi="Arial" w:cs="Arial"/>
                                <w:sz w:val="22"/>
                              </w:rPr>
                              <w:t>Contribuye a la reactivación de centralidades</w:t>
                            </w:r>
                          </w:p>
                          <w:p w14:paraId="32181CCD" w14:textId="77777777" w:rsidR="007F488C" w:rsidRPr="007F488C" w:rsidRDefault="007F488C" w:rsidP="007F488C">
                            <w:pPr>
                              <w:rPr>
                                <w:rFonts w:ascii="Arial" w:hAnsi="Arial" w:cs="Arial"/>
                                <w:sz w:val="22"/>
                              </w:rPr>
                            </w:pPr>
                          </w:p>
                          <w:p w14:paraId="6215A5E2" w14:textId="5D85ADE3" w:rsidR="007F488C" w:rsidRPr="00956CBA" w:rsidRDefault="007F488C" w:rsidP="00956CBA">
                            <w:pPr>
                              <w:jc w:val="center"/>
                              <w:rPr>
                                <w:rFonts w:ascii="Arial" w:hAnsi="Arial" w:cs="Arial"/>
                                <w:b/>
                                <w:sz w:val="22"/>
                              </w:rPr>
                            </w:pPr>
                            <w:r w:rsidRPr="007F488C">
                              <w:rPr>
                                <w:rFonts w:ascii="Arial" w:hAnsi="Arial" w:cs="Arial"/>
                                <w:b/>
                                <w:sz w:val="22"/>
                              </w:rPr>
                              <w:t>Retos:</w:t>
                            </w:r>
                          </w:p>
                          <w:p w14:paraId="529B4FFB" w14:textId="372E2BE2" w:rsidR="00F80AC6" w:rsidRPr="007F488C" w:rsidRDefault="007F488C" w:rsidP="007F488C">
                            <w:pPr>
                              <w:pStyle w:val="Prrafodelista"/>
                              <w:numPr>
                                <w:ilvl w:val="0"/>
                                <w:numId w:val="6"/>
                              </w:numPr>
                              <w:ind w:left="426" w:hanging="436"/>
                              <w:jc w:val="center"/>
                              <w:rPr>
                                <w:rFonts w:ascii="Arial" w:hAnsi="Arial"/>
                                <w:sz w:val="22"/>
                              </w:rPr>
                            </w:pPr>
                            <w:r w:rsidRPr="007F488C">
                              <w:rPr>
                                <w:rFonts w:ascii="Arial" w:hAnsi="Arial"/>
                                <w:sz w:val="22"/>
                              </w:rPr>
                              <w:t>Mejorar la calidad de la vivienda</w:t>
                            </w:r>
                          </w:p>
                          <w:p w14:paraId="6A1B934A" w14:textId="7FCCCFA3" w:rsidR="007F488C" w:rsidRPr="007F488C" w:rsidRDefault="007F488C" w:rsidP="007F488C">
                            <w:pPr>
                              <w:pStyle w:val="Prrafodelista"/>
                              <w:numPr>
                                <w:ilvl w:val="0"/>
                                <w:numId w:val="6"/>
                              </w:numPr>
                              <w:ind w:left="426" w:hanging="436"/>
                              <w:jc w:val="center"/>
                              <w:rPr>
                                <w:rFonts w:ascii="Arial" w:hAnsi="Arial"/>
                                <w:sz w:val="22"/>
                              </w:rPr>
                            </w:pPr>
                            <w:r w:rsidRPr="007F488C">
                              <w:rPr>
                                <w:rFonts w:ascii="Arial" w:hAnsi="Arial"/>
                                <w:sz w:val="22"/>
                              </w:rPr>
                              <w:t>Lograr un equilibrio adecuado entre la protección al arrendador y la protección al arrendatario.</w:t>
                            </w:r>
                          </w:p>
                          <w:p w14:paraId="40166BB1" w14:textId="7372379F" w:rsidR="007F488C" w:rsidRDefault="007F488C" w:rsidP="007F488C">
                            <w:pPr>
                              <w:pStyle w:val="Prrafodelista"/>
                              <w:numPr>
                                <w:ilvl w:val="0"/>
                                <w:numId w:val="6"/>
                              </w:numPr>
                              <w:ind w:left="426" w:hanging="436"/>
                              <w:jc w:val="center"/>
                              <w:rPr>
                                <w:rFonts w:ascii="Arial" w:hAnsi="Arial"/>
                                <w:sz w:val="22"/>
                              </w:rPr>
                            </w:pPr>
                            <w:r w:rsidRPr="007F488C">
                              <w:rPr>
                                <w:rFonts w:ascii="Arial" w:hAnsi="Arial"/>
                                <w:sz w:val="22"/>
                              </w:rPr>
                              <w:t>Desarrollar modelos de gestión sostenibles</w:t>
                            </w:r>
                          </w:p>
                          <w:p w14:paraId="6A7F5ECA" w14:textId="77777777" w:rsidR="00956CBA" w:rsidRDefault="00956CBA" w:rsidP="00956CBA">
                            <w:pPr>
                              <w:ind w:left="-10"/>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F67A8" id="Cuadro de texto 2" o:spid="_x0000_s1027" type="#_x0000_t202" style="position:absolute;left:0;text-align:left;margin-left:18pt;margin-top:19.45pt;width:396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" filled="f" strokecolor="black [3213]">
                <v:textbox>
                  <w:txbxContent>
                    <w:p w14:paraId="2293DF12" w14:textId="6C6CC6D0" w:rsidR="007F488C" w:rsidRPr="007F488C" w:rsidRDefault="007F488C" w:rsidP="00956CBA">
                      <w:pPr>
                        <w:jc w:val="center"/>
                        <w:rPr>
                          <w:rFonts w:ascii="Arial" w:hAnsi="Arial" w:cs="Arial"/>
                          <w:b/>
                          <w:sz w:val="22"/>
                        </w:rPr>
                      </w:pPr>
                      <w:r w:rsidRPr="007F488C">
                        <w:rPr>
                          <w:rFonts w:ascii="Arial" w:hAnsi="Arial" w:cs="Arial"/>
                          <w:b/>
                          <w:sz w:val="22"/>
                        </w:rPr>
                        <w:t>Beneficios:</w:t>
                      </w:r>
                    </w:p>
                    <w:p w14:paraId="35B498F0" w14:textId="5809FBF4" w:rsidR="00F80AC6" w:rsidRPr="007F488C" w:rsidRDefault="00F80AC6" w:rsidP="007F488C">
                      <w:pPr>
                        <w:pStyle w:val="Prrafodelista"/>
                        <w:numPr>
                          <w:ilvl w:val="0"/>
                          <w:numId w:val="4"/>
                        </w:numPr>
                        <w:jc w:val="center"/>
                        <w:rPr>
                          <w:rFonts w:ascii="Arial" w:hAnsi="Arial" w:cs="Arial"/>
                          <w:sz w:val="22"/>
                        </w:rPr>
                      </w:pPr>
                      <w:r w:rsidRPr="007F488C">
                        <w:rPr>
                          <w:rFonts w:ascii="Arial" w:hAnsi="Arial" w:cs="Arial"/>
                          <w:sz w:val="22"/>
                        </w:rPr>
                        <w:t>Flexibilidad y movilidad (respecto al lugar de residencia para grupos sociales que no se han consolidado laboralmente ni económicamente: jóvenes, migrantes, ancianos, etc.)</w:t>
                      </w:r>
                    </w:p>
                    <w:p w14:paraId="5C6B1A8E" w14:textId="7F11928C" w:rsidR="007F488C" w:rsidRPr="007F488C" w:rsidRDefault="007F488C" w:rsidP="007F488C">
                      <w:pPr>
                        <w:pStyle w:val="Prrafodelista"/>
                        <w:numPr>
                          <w:ilvl w:val="0"/>
                          <w:numId w:val="4"/>
                        </w:numPr>
                        <w:jc w:val="center"/>
                        <w:rPr>
                          <w:rFonts w:ascii="Arial" w:hAnsi="Arial" w:cs="Arial"/>
                          <w:sz w:val="22"/>
                        </w:rPr>
                      </w:pPr>
                      <w:r w:rsidRPr="007F488C">
                        <w:rPr>
                          <w:rFonts w:ascii="Arial" w:hAnsi="Arial" w:cs="Arial"/>
                          <w:sz w:val="22"/>
                        </w:rPr>
                        <w:t>Requiere de menor inversión para los hogares</w:t>
                      </w:r>
                    </w:p>
                    <w:p w14:paraId="1B5B3909" w14:textId="0DDC08FB" w:rsidR="00F80AC6" w:rsidRPr="007F488C" w:rsidRDefault="00F80AC6" w:rsidP="007F488C">
                      <w:pPr>
                        <w:pStyle w:val="Prrafodelista"/>
                        <w:numPr>
                          <w:ilvl w:val="0"/>
                          <w:numId w:val="4"/>
                        </w:numPr>
                        <w:jc w:val="center"/>
                        <w:rPr>
                          <w:rFonts w:ascii="Arial" w:hAnsi="Arial" w:cs="Arial"/>
                          <w:sz w:val="22"/>
                        </w:rPr>
                      </w:pPr>
                      <w:r w:rsidRPr="007F488C">
                        <w:rPr>
                          <w:rFonts w:ascii="Arial" w:hAnsi="Arial" w:cs="Arial"/>
                          <w:sz w:val="22"/>
                        </w:rPr>
                        <w:t>Contribuye a la f</w:t>
                      </w:r>
                      <w:r w:rsidR="007F488C" w:rsidRPr="007F488C">
                        <w:rPr>
                          <w:rFonts w:ascii="Arial" w:hAnsi="Arial" w:cs="Arial"/>
                          <w:sz w:val="22"/>
                        </w:rPr>
                        <w:t>ormación de ciudades compactas</w:t>
                      </w:r>
                    </w:p>
                    <w:p w14:paraId="519F2940" w14:textId="1213ACAA" w:rsidR="00F80AC6" w:rsidRPr="007F488C" w:rsidRDefault="00F80AC6" w:rsidP="007F488C">
                      <w:pPr>
                        <w:pStyle w:val="Prrafodelista"/>
                        <w:numPr>
                          <w:ilvl w:val="0"/>
                          <w:numId w:val="4"/>
                        </w:numPr>
                        <w:jc w:val="center"/>
                        <w:rPr>
                          <w:rFonts w:ascii="Arial" w:hAnsi="Arial" w:cs="Arial"/>
                          <w:sz w:val="22"/>
                        </w:rPr>
                      </w:pPr>
                      <w:r w:rsidRPr="007F488C">
                        <w:rPr>
                          <w:rFonts w:ascii="Arial" w:hAnsi="Arial" w:cs="Arial"/>
                          <w:sz w:val="22"/>
                        </w:rPr>
                        <w:t>Es más económico para los gobiernos generar subsidios para arriendo que para propiedad.</w:t>
                      </w:r>
                    </w:p>
                    <w:p w14:paraId="421E49C9" w14:textId="7CC18030" w:rsidR="00F80AC6" w:rsidRPr="007F488C" w:rsidRDefault="00F80AC6" w:rsidP="007F488C">
                      <w:pPr>
                        <w:pStyle w:val="Prrafodelista"/>
                        <w:numPr>
                          <w:ilvl w:val="0"/>
                          <w:numId w:val="4"/>
                        </w:numPr>
                        <w:jc w:val="center"/>
                        <w:rPr>
                          <w:rFonts w:ascii="Arial" w:hAnsi="Arial" w:cs="Arial"/>
                          <w:sz w:val="22"/>
                        </w:rPr>
                      </w:pPr>
                      <w:r w:rsidRPr="007F488C">
                        <w:rPr>
                          <w:rFonts w:ascii="Arial" w:hAnsi="Arial" w:cs="Arial"/>
                          <w:sz w:val="22"/>
                        </w:rPr>
                        <w:t>Contribuye a la reactivación de centralidades</w:t>
                      </w:r>
                    </w:p>
                    <w:p w14:paraId="32181CCD" w14:textId="77777777" w:rsidR="007F488C" w:rsidRPr="007F488C" w:rsidRDefault="007F488C" w:rsidP="007F488C">
                      <w:pPr>
                        <w:rPr>
                          <w:rFonts w:ascii="Arial" w:hAnsi="Arial" w:cs="Arial"/>
                          <w:sz w:val="22"/>
                        </w:rPr>
                      </w:pPr>
                    </w:p>
                    <w:p w14:paraId="6215A5E2" w14:textId="5D85ADE3" w:rsidR="007F488C" w:rsidRPr="00956CBA" w:rsidRDefault="007F488C" w:rsidP="00956CBA">
                      <w:pPr>
                        <w:jc w:val="center"/>
                        <w:rPr>
                          <w:rFonts w:ascii="Arial" w:hAnsi="Arial" w:cs="Arial"/>
                          <w:b/>
                          <w:sz w:val="22"/>
                        </w:rPr>
                      </w:pPr>
                      <w:r w:rsidRPr="007F488C">
                        <w:rPr>
                          <w:rFonts w:ascii="Arial" w:hAnsi="Arial" w:cs="Arial"/>
                          <w:b/>
                          <w:sz w:val="22"/>
                        </w:rPr>
                        <w:t>Retos:</w:t>
                      </w:r>
                    </w:p>
                    <w:p w14:paraId="529B4FFB" w14:textId="372E2BE2" w:rsidR="00F80AC6" w:rsidRPr="007F488C" w:rsidRDefault="007F488C" w:rsidP="007F488C">
                      <w:pPr>
                        <w:pStyle w:val="Prrafodelista"/>
                        <w:numPr>
                          <w:ilvl w:val="0"/>
                          <w:numId w:val="6"/>
                        </w:numPr>
                        <w:ind w:left="426" w:hanging="436"/>
                        <w:jc w:val="center"/>
                        <w:rPr>
                          <w:rFonts w:ascii="Arial" w:hAnsi="Arial"/>
                          <w:sz w:val="22"/>
                        </w:rPr>
                      </w:pPr>
                      <w:r w:rsidRPr="007F488C">
                        <w:rPr>
                          <w:rFonts w:ascii="Arial" w:hAnsi="Arial"/>
                          <w:sz w:val="22"/>
                        </w:rPr>
                        <w:t>Mejorar la calidad de la vivienda</w:t>
                      </w:r>
                    </w:p>
                    <w:p w14:paraId="6A1B934A" w14:textId="7FCCCFA3" w:rsidR="007F488C" w:rsidRPr="007F488C" w:rsidRDefault="007F488C" w:rsidP="007F488C">
                      <w:pPr>
                        <w:pStyle w:val="Prrafodelista"/>
                        <w:numPr>
                          <w:ilvl w:val="0"/>
                          <w:numId w:val="6"/>
                        </w:numPr>
                        <w:ind w:left="426" w:hanging="436"/>
                        <w:jc w:val="center"/>
                        <w:rPr>
                          <w:rFonts w:ascii="Arial" w:hAnsi="Arial"/>
                          <w:sz w:val="22"/>
                        </w:rPr>
                      </w:pPr>
                      <w:r w:rsidRPr="007F488C">
                        <w:rPr>
                          <w:rFonts w:ascii="Arial" w:hAnsi="Arial"/>
                          <w:sz w:val="22"/>
                        </w:rPr>
                        <w:t>Lograr un equilibrio adecuado entre la protección al arrendador y la protección al arrendatario.</w:t>
                      </w:r>
                    </w:p>
                    <w:p w14:paraId="40166BB1" w14:textId="7372379F" w:rsidR="007F488C" w:rsidRDefault="007F488C" w:rsidP="007F488C">
                      <w:pPr>
                        <w:pStyle w:val="Prrafodelista"/>
                        <w:numPr>
                          <w:ilvl w:val="0"/>
                          <w:numId w:val="6"/>
                        </w:numPr>
                        <w:ind w:left="426" w:hanging="436"/>
                        <w:jc w:val="center"/>
                        <w:rPr>
                          <w:rFonts w:ascii="Arial" w:hAnsi="Arial"/>
                          <w:sz w:val="22"/>
                        </w:rPr>
                      </w:pPr>
                      <w:r w:rsidRPr="007F488C">
                        <w:rPr>
                          <w:rFonts w:ascii="Arial" w:hAnsi="Arial"/>
                          <w:sz w:val="22"/>
                        </w:rPr>
                        <w:t>Desarrollar modelos de gestión sostenibles</w:t>
                      </w:r>
                    </w:p>
                    <w:p w14:paraId="6A7F5ECA" w14:textId="77777777" w:rsidR="00956CBA" w:rsidRDefault="00956CBA" w:rsidP="00956CBA">
                      <w:pPr>
                        <w:ind w:left="-10"/>
                        <w:rPr>
                          <w:rFonts w:ascii="Arial" w:hAnsi="Arial"/>
                          <w:sz w:val="22"/>
                        </w:rPr>
                      </w:pPr>
                    </w:p>
                  </w:txbxContent>
                </v:textbox>
                <w10:wrap type="topAndBottom"/>
              </v:shape>
            </w:pict>
          </mc:Fallback>
        </mc:AlternateContent>
      </w:r>
      <w:r w:rsidRPr="007F04DE">
        <w:rPr>
          <w:rFonts w:ascii="Arial" w:hAnsi="Arial" w:cs="Arial"/>
          <w:sz w:val="22"/>
          <w:u w:val="single"/>
          <w:lang w:val="es-ES"/>
        </w:rPr>
        <w:t>Recuadro 2: Beneficios y retos de la vivienda en arriendo como política pública</w:t>
      </w:r>
    </w:p>
    <w:p w14:paraId="653F7CFE" w14:textId="3E113F3F" w:rsidR="00956CBA" w:rsidRPr="004A55BB" w:rsidRDefault="00956CBA" w:rsidP="00956CBA">
      <w:pPr>
        <w:ind w:left="567" w:right="276"/>
        <w:jc w:val="both"/>
        <w:rPr>
          <w:rFonts w:ascii="Arial" w:hAnsi="Arial" w:cs="Arial"/>
          <w:sz w:val="22"/>
          <w:szCs w:val="22"/>
          <w:lang w:val="en-US"/>
        </w:rPr>
      </w:pPr>
      <w:r w:rsidRPr="004A55BB">
        <w:rPr>
          <w:rFonts w:ascii="Arial" w:hAnsi="Arial"/>
          <w:lang w:val="en-US"/>
        </w:rPr>
        <w:t xml:space="preserve">En base a: </w:t>
      </w:r>
      <w:r w:rsidRPr="004A55BB">
        <w:rPr>
          <w:rFonts w:ascii="Arial" w:hAnsi="Arial" w:cs="Arial"/>
          <w:color w:val="262626" w:themeColor="text1" w:themeTint="D9"/>
          <w:lang w:val="en-US"/>
        </w:rPr>
        <w:t xml:space="preserve">(Blanco, Fretes Cibils and Muñoz, 2014); Gilbert, A. (2015); </w:t>
      </w:r>
      <w:r w:rsidRPr="004A55BB">
        <w:rPr>
          <w:rFonts w:ascii="Arial" w:hAnsi="Arial" w:cs="Arial"/>
          <w:color w:val="262626" w:themeColor="text1" w:themeTint="D9"/>
          <w:lang w:val="en-US" w:eastAsia="es-ES"/>
        </w:rPr>
        <w:t>Peppercorn, I. and Taffin, C. (2013)</w:t>
      </w:r>
    </w:p>
    <w:p w14:paraId="5B87EA46" w14:textId="1A400818" w:rsidR="00F80AC6" w:rsidRPr="004A55BB" w:rsidRDefault="00F80AC6" w:rsidP="00746DD2">
      <w:pPr>
        <w:ind w:left="1985"/>
        <w:jc w:val="both"/>
        <w:rPr>
          <w:rFonts w:ascii="Arial" w:hAnsi="Arial" w:cs="Arial"/>
          <w:sz w:val="22"/>
          <w:szCs w:val="22"/>
          <w:lang w:val="en-US"/>
        </w:rPr>
      </w:pPr>
    </w:p>
    <w:p w14:paraId="32A1D1D2" w14:textId="0D5419C8" w:rsidR="00956CBA" w:rsidRPr="007F04DE" w:rsidRDefault="00956CBA" w:rsidP="00956CBA">
      <w:pPr>
        <w:ind w:left="1985"/>
        <w:jc w:val="both"/>
        <w:rPr>
          <w:rFonts w:ascii="Arial" w:hAnsi="Arial" w:cs="Arial"/>
          <w:sz w:val="22"/>
          <w:szCs w:val="22"/>
          <w:lang w:val="es-ES"/>
        </w:rPr>
      </w:pPr>
      <w:r w:rsidRPr="007F04DE">
        <w:rPr>
          <w:rFonts w:ascii="Arial" w:hAnsi="Arial"/>
          <w:color w:val="000000"/>
          <w:sz w:val="22"/>
          <w:lang w:val="es-ES"/>
        </w:rPr>
        <w:t>No obstante, si bien ambos objetivos están vinculados (atención del déficit y repoblamiento del CHQ) es necesario distinguirlos para precisar instrumentos que permitan alcanzar ambas metas. Por una parte, se deben diseñar mecanismos para promover la oferta y, simultáneamente, para asegurar el acceso de la demanda a la vivienda</w:t>
      </w:r>
      <w:r w:rsidRPr="007F04DE">
        <w:rPr>
          <w:rStyle w:val="Refdenotaalpie"/>
          <w:rFonts w:ascii="Arial" w:hAnsi="Arial"/>
          <w:color w:val="000000"/>
          <w:sz w:val="22"/>
          <w:lang w:val="es-ES"/>
        </w:rPr>
        <w:footnoteReference w:id="5"/>
      </w:r>
      <w:r w:rsidRPr="007F04DE">
        <w:rPr>
          <w:rFonts w:ascii="Arial" w:hAnsi="Arial"/>
          <w:color w:val="000000"/>
          <w:sz w:val="22"/>
          <w:lang w:val="es-ES"/>
        </w:rPr>
        <w:t>. El PCHQ, si bien contempla mecanismos para generar oferta de vivienda de alquiler, debe también plantear estrategias de gestión de la demanda</w:t>
      </w:r>
      <w:r w:rsidR="002A7B1E" w:rsidRPr="007F04DE">
        <w:rPr>
          <w:rStyle w:val="Refdenotaalpie"/>
          <w:rFonts w:ascii="Arial" w:hAnsi="Arial"/>
          <w:color w:val="000000"/>
          <w:sz w:val="22"/>
          <w:lang w:val="es-ES"/>
        </w:rPr>
        <w:footnoteReference w:id="6"/>
      </w:r>
      <w:r w:rsidRPr="007F04DE">
        <w:rPr>
          <w:rFonts w:ascii="Arial" w:hAnsi="Arial"/>
          <w:color w:val="000000"/>
          <w:sz w:val="22"/>
          <w:lang w:val="es-ES"/>
        </w:rPr>
        <w:t xml:space="preserve"> de vivienda. </w:t>
      </w:r>
      <w:r w:rsidRPr="007F04DE">
        <w:rPr>
          <w:rFonts w:ascii="Arial" w:hAnsi="Arial" w:cs="Arial"/>
          <w:sz w:val="22"/>
          <w:szCs w:val="22"/>
          <w:lang w:val="es-ES"/>
        </w:rPr>
        <w:t>El Proyecto 1 consiste en un mecanismo de generación de oferta. Como se indica en el documento, “</w:t>
      </w:r>
      <w:r w:rsidRPr="007F04DE">
        <w:rPr>
          <w:rFonts w:ascii="Arial" w:hAnsi="Arial" w:cs="Arial"/>
          <w:i/>
          <w:sz w:val="22"/>
          <w:szCs w:val="22"/>
          <w:lang w:val="es-ES"/>
        </w:rPr>
        <w:t>la propuesta de vivienda patrimonial con carácter social propone utilizar unidades de vivienda de titularidad del Municipio de Quito que han sido rehabilitadas con fines de arriendo para proveer de vivienda digna a grupos de atención prioritaria, a la población en situación de pobreza o en situación de vulnerabilidad, que reside en la ciudad</w:t>
      </w:r>
      <w:r w:rsidRPr="007F04DE">
        <w:rPr>
          <w:rFonts w:ascii="Arial" w:hAnsi="Arial" w:cs="Arial"/>
          <w:sz w:val="22"/>
          <w:szCs w:val="22"/>
          <w:lang w:val="es-ES"/>
        </w:rPr>
        <w:t>”.</w:t>
      </w:r>
      <w:r w:rsidRPr="007F04DE">
        <w:rPr>
          <w:rStyle w:val="Refdenotaalpie"/>
          <w:rFonts w:ascii="Arial" w:hAnsi="Arial" w:cs="Arial"/>
          <w:sz w:val="22"/>
          <w:szCs w:val="22"/>
          <w:lang w:val="es-ES"/>
        </w:rPr>
        <w:footnoteReference w:id="7"/>
      </w:r>
      <w:r w:rsidRPr="007F04DE">
        <w:rPr>
          <w:rFonts w:ascii="Arial" w:hAnsi="Arial" w:cs="Arial"/>
          <w:sz w:val="22"/>
          <w:szCs w:val="22"/>
          <w:lang w:val="es-ES"/>
        </w:rPr>
        <w:t xml:space="preserve"> Así mismo, el Proyecto 2 redunda en la generación de oferta en tanto propone la rehabilitación de inmuebles municipales subutilizados para destinarlos a vivienda. </w:t>
      </w:r>
    </w:p>
    <w:p w14:paraId="0290F5DB" w14:textId="77777777" w:rsidR="001D7A97" w:rsidRPr="007F04DE" w:rsidRDefault="001D7A97" w:rsidP="00956CBA">
      <w:pPr>
        <w:ind w:left="1985"/>
        <w:jc w:val="both"/>
        <w:rPr>
          <w:rFonts w:ascii="Arial" w:hAnsi="Arial" w:cs="Arial"/>
          <w:sz w:val="22"/>
          <w:szCs w:val="22"/>
          <w:lang w:val="es-ES"/>
        </w:rPr>
      </w:pPr>
    </w:p>
    <w:p w14:paraId="49A691E1" w14:textId="77777777" w:rsidR="00956CBA" w:rsidRPr="007F04DE" w:rsidRDefault="00956CBA" w:rsidP="00956CBA">
      <w:pPr>
        <w:ind w:left="1985"/>
        <w:jc w:val="both"/>
        <w:rPr>
          <w:rFonts w:ascii="Arial" w:hAnsi="Arial" w:cs="Arial"/>
          <w:sz w:val="22"/>
          <w:szCs w:val="22"/>
          <w:lang w:val="es-ES"/>
        </w:rPr>
      </w:pPr>
      <w:r w:rsidRPr="007F04DE">
        <w:rPr>
          <w:rFonts w:ascii="Arial" w:hAnsi="Arial" w:cs="Arial"/>
          <w:sz w:val="22"/>
          <w:szCs w:val="22"/>
          <w:lang w:val="es-ES"/>
        </w:rPr>
        <w:lastRenderedPageBreak/>
        <w:t xml:space="preserve">Ambos proyectos son pertinentes como parte de la política pública. Sin embargo, es importante también considerar estrategias para promover que la demanda acceda a la vivienda. </w:t>
      </w:r>
    </w:p>
    <w:p w14:paraId="63486454" w14:textId="77777777" w:rsidR="00956CBA" w:rsidRPr="007F04DE" w:rsidRDefault="00956CBA" w:rsidP="00956CBA">
      <w:pPr>
        <w:ind w:left="1985"/>
        <w:jc w:val="both"/>
        <w:rPr>
          <w:rFonts w:ascii="Arial" w:hAnsi="Arial" w:cs="Arial"/>
          <w:sz w:val="22"/>
          <w:szCs w:val="22"/>
          <w:lang w:val="es-ES"/>
        </w:rPr>
      </w:pPr>
    </w:p>
    <w:p w14:paraId="5D8240ED" w14:textId="203CC8E3" w:rsidR="00956CBA" w:rsidRPr="007F04DE" w:rsidRDefault="00956CBA" w:rsidP="00956CBA">
      <w:pPr>
        <w:ind w:left="1985"/>
        <w:jc w:val="both"/>
        <w:rPr>
          <w:rFonts w:ascii="Arial" w:hAnsi="Arial" w:cs="Arial"/>
          <w:sz w:val="22"/>
          <w:szCs w:val="22"/>
          <w:lang w:val="es-ES"/>
        </w:rPr>
      </w:pPr>
      <w:r w:rsidRPr="007F04DE">
        <w:rPr>
          <w:rFonts w:ascii="Arial" w:hAnsi="Arial" w:cs="Arial"/>
          <w:sz w:val="22"/>
          <w:szCs w:val="22"/>
          <w:lang w:val="es-ES"/>
        </w:rPr>
        <w:t>El Proyecto 1 busca destinar los inmuebles patrimoniales de propiedad municipal a la atención de la demanda de la población vulnerable, mientras que el Proyecto 2 apunta a rehabilitar los inmuebles municipales subutilizados e identifica un total de 26.  En relación a la pertinencia de estas propuestas como mecanismos para la generación de oferta</w:t>
      </w:r>
      <w:r w:rsidR="00D3559D" w:rsidRPr="007F04DE">
        <w:rPr>
          <w:rFonts w:ascii="Arial" w:hAnsi="Arial" w:cs="Arial"/>
          <w:sz w:val="22"/>
          <w:szCs w:val="22"/>
          <w:lang w:val="es-ES"/>
        </w:rPr>
        <w:t>,</w:t>
      </w:r>
      <w:r w:rsidRPr="007F04DE">
        <w:rPr>
          <w:rFonts w:ascii="Arial" w:hAnsi="Arial" w:cs="Arial"/>
          <w:sz w:val="22"/>
          <w:szCs w:val="22"/>
          <w:lang w:val="es-ES"/>
        </w:rPr>
        <w:t xml:space="preserve"> se distinguen dos niveles de análisis: 1) la sostenibilidad económica de la generación de un stock de vivienda municipal; 2) la adecuación de las viviendas a las necesidades de la demanda. </w:t>
      </w:r>
    </w:p>
    <w:p w14:paraId="018D09E7" w14:textId="77777777" w:rsidR="00956CBA" w:rsidRPr="007F04DE" w:rsidRDefault="00956CBA" w:rsidP="00956CBA">
      <w:pPr>
        <w:ind w:left="1985"/>
        <w:jc w:val="both"/>
        <w:rPr>
          <w:rFonts w:ascii="Arial" w:hAnsi="Arial" w:cs="Arial"/>
          <w:sz w:val="22"/>
          <w:szCs w:val="22"/>
          <w:lang w:val="es-ES"/>
        </w:rPr>
      </w:pPr>
    </w:p>
    <w:p w14:paraId="606EE4DC" w14:textId="55F5E135" w:rsidR="00956CBA" w:rsidRPr="007F04DE" w:rsidRDefault="00956CBA" w:rsidP="00956CBA">
      <w:pPr>
        <w:ind w:left="1985"/>
        <w:jc w:val="both"/>
        <w:rPr>
          <w:rFonts w:ascii="Arial" w:hAnsi="Arial" w:cs="Arial"/>
          <w:sz w:val="22"/>
          <w:szCs w:val="22"/>
          <w:lang w:val="es-ES"/>
        </w:rPr>
      </w:pPr>
      <w:r w:rsidRPr="007F04DE">
        <w:rPr>
          <w:rFonts w:ascii="Arial" w:hAnsi="Arial" w:cs="Arial"/>
          <w:sz w:val="22"/>
          <w:szCs w:val="22"/>
          <w:lang w:val="es-ES"/>
        </w:rPr>
        <w:t>Respecto al primer punto, el reto de los Proyectos 1 y 2 es desarrollar un modelo de gestión que permita el mantenimiento de la calidad de la vivienda pública generada. Como muestra la revisión de experiencias internacionales al respecto,</w:t>
      </w:r>
      <w:r w:rsidRPr="007F04DE">
        <w:rPr>
          <w:rStyle w:val="Refdenotaalpie"/>
          <w:rFonts w:ascii="Arial" w:hAnsi="Arial" w:cs="Arial"/>
          <w:sz w:val="22"/>
          <w:szCs w:val="22"/>
          <w:lang w:val="es-ES"/>
        </w:rPr>
        <w:footnoteReference w:id="8"/>
      </w:r>
      <w:r w:rsidRPr="007F04DE">
        <w:rPr>
          <w:rFonts w:ascii="Arial" w:hAnsi="Arial" w:cs="Arial"/>
          <w:sz w:val="22"/>
          <w:szCs w:val="22"/>
          <w:lang w:val="es-ES"/>
        </w:rPr>
        <w:t xml:space="preserve"> la vivienda pública de alquiler implicó fuertes presiones financieras para los países que la implementaron, por los gastos de inversión en su generación y mantenimiento, llevando a que en muchos casos las viviend</w:t>
      </w:r>
      <w:r w:rsidR="00D3559D" w:rsidRPr="007F04DE">
        <w:rPr>
          <w:rFonts w:ascii="Arial" w:hAnsi="Arial" w:cs="Arial"/>
          <w:sz w:val="22"/>
          <w:szCs w:val="22"/>
          <w:lang w:val="es-ES"/>
        </w:rPr>
        <w:t>as se ofertara</w:t>
      </w:r>
      <w:r w:rsidRPr="007F04DE">
        <w:rPr>
          <w:rFonts w:ascii="Arial" w:hAnsi="Arial" w:cs="Arial"/>
          <w:sz w:val="22"/>
          <w:szCs w:val="22"/>
          <w:lang w:val="es-ES"/>
        </w:rPr>
        <w:t xml:space="preserve">n en venta, acabando en manos de la clase media. Al mismo tiempo, la calidad de la vivienda pública se deterioró, por el costo de mantenimiento que implicaba, generando la estigmatización de zonas y el fenómeno conocido como </w:t>
      </w:r>
      <w:r w:rsidRPr="007F04DE">
        <w:rPr>
          <w:rFonts w:ascii="Arial" w:hAnsi="Arial" w:cs="Arial"/>
          <w:i/>
          <w:sz w:val="22"/>
          <w:szCs w:val="22"/>
          <w:lang w:val="es-ES"/>
        </w:rPr>
        <w:t>guetización</w:t>
      </w:r>
      <w:r w:rsidRPr="007F04DE">
        <w:rPr>
          <w:rFonts w:ascii="Arial" w:hAnsi="Arial" w:cs="Arial"/>
          <w:sz w:val="22"/>
          <w:szCs w:val="22"/>
          <w:lang w:val="es-ES"/>
        </w:rPr>
        <w:t xml:space="preserve">. Por ende, el reto de la propuesta es encontrar un modelo de gestión que asegure su sostenibilidad económica. </w:t>
      </w:r>
    </w:p>
    <w:p w14:paraId="7AA9EAF4" w14:textId="77777777" w:rsidR="00956CBA" w:rsidRPr="007F04DE" w:rsidRDefault="00956CBA" w:rsidP="00956CBA">
      <w:pPr>
        <w:ind w:left="1985"/>
        <w:jc w:val="both"/>
        <w:rPr>
          <w:rFonts w:ascii="Arial" w:hAnsi="Arial" w:cs="Arial"/>
          <w:sz w:val="22"/>
          <w:szCs w:val="22"/>
          <w:lang w:val="es-ES"/>
        </w:rPr>
      </w:pPr>
    </w:p>
    <w:p w14:paraId="123BDFA6" w14:textId="3C68587E" w:rsidR="00956CBA" w:rsidRPr="007F04DE" w:rsidRDefault="00956CBA" w:rsidP="00956CBA">
      <w:pPr>
        <w:ind w:left="1985"/>
        <w:jc w:val="both"/>
        <w:rPr>
          <w:rFonts w:ascii="Arial" w:hAnsi="Arial" w:cs="Arial"/>
          <w:sz w:val="22"/>
          <w:lang w:val="es-ES"/>
        </w:rPr>
      </w:pPr>
      <w:r w:rsidRPr="007F04DE">
        <w:rPr>
          <w:rFonts w:ascii="Arial" w:hAnsi="Arial" w:cs="Arial"/>
          <w:sz w:val="22"/>
          <w:szCs w:val="22"/>
          <w:lang w:val="es-ES"/>
        </w:rPr>
        <w:t>Respecto al segundo nivel de análisis, la adecuación de las viviendas a las necesidade</w:t>
      </w:r>
      <w:r w:rsidR="00D3559D" w:rsidRPr="007F04DE">
        <w:rPr>
          <w:rFonts w:ascii="Arial" w:hAnsi="Arial" w:cs="Arial"/>
          <w:sz w:val="22"/>
          <w:szCs w:val="22"/>
          <w:lang w:val="es-ES"/>
        </w:rPr>
        <w:t xml:space="preserve">s de la demanda requiere de un análisis detallado de las características de los beneficiarios futuros. Si bien el PCHQ considera </w:t>
      </w:r>
      <w:r w:rsidR="00D3559D" w:rsidRPr="007F04DE">
        <w:rPr>
          <w:rFonts w:ascii="Arial" w:hAnsi="Arial" w:cs="Arial"/>
          <w:sz w:val="22"/>
          <w:lang w:val="es-ES"/>
        </w:rPr>
        <w:t xml:space="preserve">desarrollar “estudios adicionales de demanda por usuarios para orientar un diseño de unidades habitacionales que se adecúen al mercado existente”, este es solo uno de los componentes de las necesidades de la demanda. También es importante entender otros aspectos, </w:t>
      </w:r>
      <w:r w:rsidR="00BF3444" w:rsidRPr="007F04DE">
        <w:rPr>
          <w:rFonts w:ascii="Arial" w:hAnsi="Arial" w:cs="Arial"/>
          <w:sz w:val="22"/>
          <w:lang w:val="es-ES"/>
        </w:rPr>
        <w:t>como,</w:t>
      </w:r>
      <w:r w:rsidR="00D3559D" w:rsidRPr="007F04DE">
        <w:rPr>
          <w:rFonts w:ascii="Arial" w:hAnsi="Arial" w:cs="Arial"/>
          <w:sz w:val="22"/>
          <w:lang w:val="es-ES"/>
        </w:rPr>
        <w:t xml:space="preserve"> por ejemplo, los modelos de pago de renta más adecuados para la población objetivo (periodicidad de pagos, medio de pago, etc.)</w:t>
      </w:r>
      <w:r w:rsidR="001D7A97" w:rsidRPr="007F04DE">
        <w:rPr>
          <w:rFonts w:ascii="Arial" w:hAnsi="Arial" w:cs="Arial"/>
          <w:sz w:val="22"/>
          <w:lang w:val="es-ES"/>
        </w:rPr>
        <w:t xml:space="preserve"> y los modelos de gestión social (organización, representación, etc.) que respondan mejor a la cultura de los beneficiarios.</w:t>
      </w:r>
    </w:p>
    <w:p w14:paraId="29B5F262" w14:textId="77777777" w:rsidR="001D7A97" w:rsidRPr="007F04DE" w:rsidRDefault="001D7A97" w:rsidP="00956CBA">
      <w:pPr>
        <w:ind w:left="1985"/>
        <w:jc w:val="both"/>
        <w:rPr>
          <w:rFonts w:ascii="Arial" w:hAnsi="Arial" w:cs="Arial"/>
          <w:sz w:val="22"/>
          <w:lang w:val="es-ES"/>
        </w:rPr>
      </w:pPr>
    </w:p>
    <w:p w14:paraId="44205E29" w14:textId="77777777" w:rsidR="001D7A97" w:rsidRPr="007F04DE" w:rsidRDefault="001D7A97" w:rsidP="00956CBA">
      <w:pPr>
        <w:ind w:left="1985"/>
        <w:jc w:val="both"/>
        <w:rPr>
          <w:rFonts w:ascii="Arial" w:hAnsi="Arial" w:cs="Arial"/>
          <w:sz w:val="22"/>
          <w:szCs w:val="22"/>
          <w:lang w:val="es-ES"/>
        </w:rPr>
      </w:pPr>
    </w:p>
    <w:p w14:paraId="11A58C50" w14:textId="36ACBCD3" w:rsidR="00206A90" w:rsidRPr="007F04DE" w:rsidRDefault="001D7A97" w:rsidP="001D7A97">
      <w:pPr>
        <w:pStyle w:val="21AnlisisdelaEstrategia-Proyecto"/>
        <w:rPr>
          <w:lang w:val="es-ES"/>
        </w:rPr>
      </w:pPr>
      <w:bookmarkStart w:id="14" w:name="_Toc526368346"/>
      <w:bookmarkStart w:id="15" w:name="_Toc526368744"/>
      <w:bookmarkStart w:id="16" w:name="_Toc526369191"/>
      <w:bookmarkStart w:id="17" w:name="_Toc526369791"/>
      <w:r w:rsidRPr="007F04DE">
        <w:rPr>
          <w:lang w:val="es-ES"/>
        </w:rPr>
        <w:t>Análisis del Eje 5/Estrategia 2</w:t>
      </w:r>
      <w:bookmarkEnd w:id="14"/>
      <w:bookmarkEnd w:id="15"/>
      <w:bookmarkEnd w:id="16"/>
      <w:bookmarkEnd w:id="17"/>
      <w:r w:rsidR="00956CBA" w:rsidRPr="007F04DE">
        <w:rPr>
          <w:rFonts w:cs="Arial"/>
          <w:lang w:val="es-ES"/>
        </w:rPr>
        <w:t xml:space="preserve">  </w:t>
      </w:r>
    </w:p>
    <w:p w14:paraId="17049921" w14:textId="77777777" w:rsidR="00206A90" w:rsidRPr="007F04DE" w:rsidRDefault="00206A90" w:rsidP="001D7A97">
      <w:pPr>
        <w:ind w:left="1985"/>
        <w:rPr>
          <w:rFonts w:ascii="Calibri" w:hAnsi="Calibri"/>
          <w:color w:val="000000"/>
          <w:lang w:val="es-ES"/>
        </w:rPr>
      </w:pPr>
    </w:p>
    <w:p w14:paraId="2EC4FB56" w14:textId="145653E8" w:rsidR="001D7A97" w:rsidRPr="007F04DE" w:rsidRDefault="001D7A97" w:rsidP="001D7A97">
      <w:pPr>
        <w:ind w:left="1985"/>
        <w:jc w:val="both"/>
        <w:rPr>
          <w:rFonts w:ascii="Arial" w:hAnsi="Arial" w:cs="Arial"/>
          <w:color w:val="000000"/>
          <w:sz w:val="22"/>
          <w:szCs w:val="22"/>
          <w:lang w:val="es-ES"/>
        </w:rPr>
      </w:pPr>
      <w:r w:rsidRPr="007F04DE">
        <w:rPr>
          <w:rFonts w:ascii="Arial" w:hAnsi="Arial" w:cs="Arial"/>
          <w:color w:val="000000"/>
          <w:sz w:val="22"/>
          <w:szCs w:val="22"/>
          <w:lang w:val="es-ES"/>
        </w:rPr>
        <w:t xml:space="preserve">La Estrategia 2 plantea conservar la diversidad poblacional existente, mitigando los efectos de la gentrificación. A diferencia de la Estrategia 1 en la que se contemplan proyectos, en la Estrategia 2 las propuestas son principalmente normativas. La sección 5.3.1. Desarrollo de la Estrategia 2, identifica la demanda potencial según quintiles de ingreso. Así, se consideran que para atender la demanda de los quintiles 1 y 2 se requieren generar 1,384 unidades de vivienda adicionales, las cuales se alcanzarían </w:t>
      </w:r>
      <w:r w:rsidRPr="007F04DE">
        <w:rPr>
          <w:rFonts w:ascii="Arial" w:hAnsi="Arial" w:cs="Arial"/>
          <w:color w:val="000000"/>
          <w:sz w:val="22"/>
          <w:szCs w:val="22"/>
          <w:lang w:val="es-ES"/>
        </w:rPr>
        <w:lastRenderedPageBreak/>
        <w:t xml:space="preserve">mediante la rehabilitación de inmuebles. Para asegurar que dichas viviendas se destinen a un uso social se plantean 3 mecanismos normativos, los cuales se analizan a continuación. </w:t>
      </w:r>
    </w:p>
    <w:p w14:paraId="2CEEDBA7" w14:textId="77777777" w:rsidR="001D7A97" w:rsidRPr="007F04DE" w:rsidRDefault="001D7A97" w:rsidP="001D7A97">
      <w:pPr>
        <w:ind w:left="1985"/>
        <w:jc w:val="both"/>
        <w:rPr>
          <w:rFonts w:ascii="Arial" w:hAnsi="Arial" w:cs="Arial"/>
          <w:color w:val="000000"/>
          <w:sz w:val="22"/>
          <w:szCs w:val="22"/>
          <w:lang w:val="es-ES"/>
        </w:rPr>
      </w:pPr>
    </w:p>
    <w:p w14:paraId="73F758FE" w14:textId="0C49B023" w:rsidR="001D7A97" w:rsidRPr="007F04DE" w:rsidRDefault="001D7A97" w:rsidP="001D7A97">
      <w:pPr>
        <w:pStyle w:val="211"/>
        <w:ind w:left="1985" w:hanging="709"/>
        <w:rPr>
          <w:rFonts w:cs="Arial"/>
          <w:color w:val="000000"/>
          <w:lang w:val="es-ES"/>
        </w:rPr>
      </w:pPr>
      <w:bookmarkStart w:id="18" w:name="_Toc526368347"/>
      <w:bookmarkStart w:id="19" w:name="_Toc526368745"/>
      <w:bookmarkStart w:id="20" w:name="_Toc526369192"/>
      <w:bookmarkStart w:id="21" w:name="_Toc526369792"/>
      <w:r w:rsidRPr="007F04DE">
        <w:rPr>
          <w:rFonts w:cs="Arial"/>
          <w:color w:val="000000"/>
          <w:lang w:val="es-ES"/>
        </w:rPr>
        <w:t>Análisis de las Gestión Normativa 1, 2 y 3 de la Estrategia 2 del Eje 5.</w:t>
      </w:r>
      <w:bookmarkEnd w:id="18"/>
      <w:bookmarkEnd w:id="19"/>
      <w:bookmarkEnd w:id="20"/>
      <w:bookmarkEnd w:id="21"/>
      <w:r w:rsidRPr="007F04DE">
        <w:rPr>
          <w:rFonts w:cs="Arial"/>
          <w:color w:val="000000"/>
          <w:lang w:val="es-ES"/>
        </w:rPr>
        <w:t xml:space="preserve">  </w:t>
      </w:r>
    </w:p>
    <w:p w14:paraId="7BC37C00" w14:textId="77777777" w:rsidR="00575430" w:rsidRPr="007F04DE" w:rsidRDefault="00575430" w:rsidP="00575430">
      <w:pPr>
        <w:rPr>
          <w:rFonts w:ascii="Calibri" w:hAnsi="Calibri"/>
          <w:i/>
          <w:color w:val="000000"/>
          <w:u w:val="single"/>
          <w:lang w:val="es-ES"/>
        </w:rPr>
      </w:pPr>
    </w:p>
    <w:p w14:paraId="2C9B44AD" w14:textId="4526188C" w:rsidR="00575430" w:rsidRPr="007F04DE" w:rsidRDefault="001D7A97" w:rsidP="001D7A97">
      <w:pPr>
        <w:ind w:left="1985"/>
        <w:jc w:val="both"/>
        <w:rPr>
          <w:rFonts w:ascii="Arial" w:hAnsi="Arial" w:cs="Arial"/>
          <w:color w:val="000000"/>
          <w:sz w:val="22"/>
          <w:szCs w:val="22"/>
          <w:lang w:val="es-ES"/>
        </w:rPr>
      </w:pPr>
      <w:r w:rsidRPr="007F04DE">
        <w:rPr>
          <w:rFonts w:ascii="Arial" w:hAnsi="Arial" w:cs="Arial"/>
          <w:color w:val="000000"/>
          <w:sz w:val="22"/>
          <w:szCs w:val="22"/>
          <w:lang w:val="es-ES"/>
        </w:rPr>
        <w:t xml:space="preserve">La Gestión Normativa 1 propone el Derecho de Adquisición Preferente como mecanismo para la Municipalidad de Quito en caso un propietario decida vender su predio. Este instrumento se reglamentará en la Ordenanza del Plan Parcial, basado en el marco normativo que provee la LOOTUGS. En tanto esta ley provee de dicho instrumento, la Municipalidad puede asegurar la adquisición del bien. No obstante, el diagnóstico no contempla una evaluación financiera referencial de la adquisición de un bien mediante este mecanismo legal. Conviene que el PCHQ considere un modelo referencial de actuación en este caso para que se estime la inversión municipal para la generación del stock de vivienda que se busca. </w:t>
      </w:r>
    </w:p>
    <w:p w14:paraId="618883DB" w14:textId="77777777" w:rsidR="001D7A97" w:rsidRPr="007F04DE" w:rsidRDefault="001D7A97" w:rsidP="001D7A97">
      <w:pPr>
        <w:ind w:left="1985"/>
        <w:jc w:val="both"/>
        <w:rPr>
          <w:rFonts w:ascii="Arial" w:hAnsi="Arial" w:cs="Arial"/>
          <w:color w:val="000000"/>
          <w:sz w:val="22"/>
          <w:szCs w:val="22"/>
          <w:lang w:val="es-ES"/>
        </w:rPr>
      </w:pPr>
    </w:p>
    <w:p w14:paraId="4D374FF6" w14:textId="6D8CAE93" w:rsidR="001D7A97" w:rsidRPr="007F04DE" w:rsidRDefault="001D7A97" w:rsidP="001D7A97">
      <w:pPr>
        <w:ind w:left="1985"/>
        <w:jc w:val="both"/>
        <w:rPr>
          <w:rFonts w:ascii="Arial" w:hAnsi="Arial" w:cs="Arial"/>
          <w:sz w:val="22"/>
          <w:szCs w:val="22"/>
          <w:lang w:val="es-ES"/>
        </w:rPr>
      </w:pPr>
      <w:r w:rsidRPr="007F04DE">
        <w:rPr>
          <w:rFonts w:ascii="Arial" w:hAnsi="Arial" w:cs="Arial"/>
          <w:color w:val="000000"/>
          <w:sz w:val="22"/>
          <w:szCs w:val="22"/>
          <w:lang w:val="es-ES"/>
        </w:rPr>
        <w:t>La Gestión Normativa 2, como mecanismo para promover la ocupación del CHQ, propone un “</w:t>
      </w:r>
      <w:r w:rsidRPr="007F04DE">
        <w:rPr>
          <w:rFonts w:ascii="Arial" w:hAnsi="Arial" w:cs="Arial"/>
          <w:sz w:val="22"/>
          <w:szCs w:val="22"/>
          <w:lang w:val="es-ES"/>
        </w:rPr>
        <w:t>control de arrendamientos con incentivo del 50% del impuesto predial a quienes tengan ocupada la totalidad de la edificación con vivienda”. No obstante, en la descripción de la propuesta se sugiere un 25 % de descuento en el impuesto predial urbano para quienes destinen el 80 % a un uso habitacional y 100 % en caso la propiedad se encuentre bajo el régimen de propiedad horizontal. Más allá de esta contradicción, la propuesta no muestra un análisis de flujos financieros para determinar el 50 % o 25 % de descuento en el impuesto predial. Además, no indica sobre el valor de qué año del inmueble se establecerá ese descuento</w:t>
      </w:r>
      <w:r w:rsidRPr="007F04DE">
        <w:rPr>
          <w:rStyle w:val="Refdenotaalpie"/>
          <w:rFonts w:ascii="Arial" w:hAnsi="Arial" w:cs="Arial"/>
          <w:sz w:val="22"/>
          <w:szCs w:val="22"/>
          <w:lang w:val="es-ES"/>
        </w:rPr>
        <w:footnoteReference w:id="9"/>
      </w:r>
      <w:r w:rsidRPr="007F04DE">
        <w:rPr>
          <w:rFonts w:ascii="Arial" w:hAnsi="Arial" w:cs="Arial"/>
          <w:sz w:val="22"/>
          <w:szCs w:val="22"/>
          <w:lang w:val="es-ES"/>
        </w:rPr>
        <w:t xml:space="preserve">. Es importante considerar estos aspectos para evaluar la pertinencia de la propuesta, por lo que se detallarán en mayor medida en la elaboración de los informes siguientes (Modelo de Gestión) de la presente consultoría. Por otra parte, la Gestión Normativa 2 debe también considerar promover la mixticidad de usos en los inmuebles, otorgando la posibilidad de que los beneficiarios realicen actividades productivas y comerciales que les permitan incrementar sus ingresos y conlleven a la dinamización del CHQ. </w:t>
      </w:r>
    </w:p>
    <w:p w14:paraId="4912269A" w14:textId="77777777" w:rsidR="001D7A97" w:rsidRPr="007F04DE" w:rsidRDefault="001D7A97" w:rsidP="001D7A97">
      <w:pPr>
        <w:ind w:left="1985"/>
        <w:jc w:val="both"/>
        <w:rPr>
          <w:rFonts w:ascii="Arial" w:hAnsi="Arial" w:cs="Arial"/>
          <w:sz w:val="22"/>
          <w:szCs w:val="22"/>
          <w:lang w:val="es-ES"/>
        </w:rPr>
      </w:pPr>
    </w:p>
    <w:p w14:paraId="585FBCAF" w14:textId="3DDD3FB3" w:rsidR="001D7A97" w:rsidRPr="007F04DE" w:rsidRDefault="001D7A97" w:rsidP="001D7A97">
      <w:pPr>
        <w:ind w:left="1985"/>
        <w:jc w:val="both"/>
        <w:rPr>
          <w:rFonts w:ascii="Arial" w:hAnsi="Arial" w:cs="Arial"/>
          <w:sz w:val="22"/>
          <w:lang w:val="es-ES"/>
        </w:rPr>
      </w:pPr>
      <w:r w:rsidRPr="007F04DE">
        <w:rPr>
          <w:rFonts w:ascii="Arial" w:hAnsi="Arial" w:cs="Arial"/>
          <w:sz w:val="22"/>
          <w:szCs w:val="22"/>
          <w:lang w:val="es-ES"/>
        </w:rPr>
        <w:t xml:space="preserve">La Gestión Normativa 3 se orienta a regular el arrendamiento de unidades de vivienda con carácter social. En tal sentido, define la </w:t>
      </w:r>
      <w:r w:rsidRPr="007F04DE">
        <w:rPr>
          <w:rFonts w:ascii="Arial" w:hAnsi="Arial" w:cs="Arial"/>
          <w:i/>
          <w:sz w:val="22"/>
          <w:szCs w:val="22"/>
          <w:lang w:val="es-ES"/>
        </w:rPr>
        <w:t>vivienda patrimonial con carácter social</w:t>
      </w:r>
      <w:r w:rsidRPr="007F04DE">
        <w:rPr>
          <w:rFonts w:ascii="Arial" w:hAnsi="Arial" w:cs="Arial"/>
          <w:sz w:val="22"/>
          <w:szCs w:val="22"/>
          <w:lang w:val="es-ES"/>
        </w:rPr>
        <w:t xml:space="preserve"> en el CHQ como </w:t>
      </w:r>
      <w:r w:rsidRPr="007F04DE">
        <w:rPr>
          <w:rFonts w:ascii="Arial" w:hAnsi="Arial" w:cs="Arial"/>
          <w:sz w:val="22"/>
          <w:lang w:val="es-ES"/>
        </w:rPr>
        <w:t xml:space="preserve">“las unidades de vivienda dentro del área de intervención de titularidad del Municipio del Distrito Metropolitano de Quito que han sido rehabilitadas con fines de arriendo o enajenación y que se emplean para proveer de vivienda digna a grupos de atención prioritaria, a la población en situación de pobreza o vulnerabilidad que residan en el Centro Histórico de Quito, a fin de mantener la mixtura social del área de intervención”. Se propone crear una empresa pública inmobiliaria para la gestión de las viviendas y </w:t>
      </w:r>
      <w:r w:rsidRPr="007F04DE">
        <w:rPr>
          <w:rFonts w:ascii="Arial" w:hAnsi="Arial" w:cs="Arial"/>
          <w:sz w:val="22"/>
          <w:lang w:val="es-ES"/>
        </w:rPr>
        <w:lastRenderedPageBreak/>
        <w:t xml:space="preserve">administración del banco de suelo. En relación a esta propuesta, si bien se considera pertinente la creación de la Empresa Pública Inmobiliaria, es necesario que su actuación no se reduzca a la atención de las demandas de los quintiles 1 y 2, si no que pueda intervenir con fines más amplios de tal manera que su actuación pueda ser sostenible tanto financieramente como políticamente. La búsqueda de la mixticidad de usos y grupos sociales en el espacio urbano y la protección del derecho a la vivienda digna son objetivos consecuentes con la búsqueda de la sostenibilidad urbana. En base a este argumento, se podría sustentar que la actuación de la empresa pública sea más amplia. </w:t>
      </w:r>
    </w:p>
    <w:p w14:paraId="5F93A2E6" w14:textId="77777777" w:rsidR="001D7A97" w:rsidRPr="007F04DE" w:rsidRDefault="001D7A97" w:rsidP="001D7A97">
      <w:pPr>
        <w:ind w:left="1985"/>
        <w:jc w:val="both"/>
        <w:rPr>
          <w:rFonts w:ascii="Arial" w:hAnsi="Arial" w:cs="Arial"/>
          <w:sz w:val="22"/>
          <w:lang w:val="es-ES"/>
        </w:rPr>
      </w:pPr>
    </w:p>
    <w:p w14:paraId="6BE19050" w14:textId="77777777" w:rsidR="001D7A97" w:rsidRPr="007F04DE" w:rsidRDefault="001D7A97" w:rsidP="001D7A97">
      <w:pPr>
        <w:ind w:left="1985"/>
        <w:jc w:val="both"/>
        <w:rPr>
          <w:rFonts w:ascii="Arial" w:hAnsi="Arial" w:cs="Arial"/>
          <w:color w:val="000000"/>
          <w:sz w:val="22"/>
          <w:szCs w:val="22"/>
          <w:lang w:val="es-ES"/>
        </w:rPr>
      </w:pPr>
    </w:p>
    <w:p w14:paraId="16D03C48" w14:textId="0E348A29" w:rsidR="00E00AC8" w:rsidRPr="007F04DE" w:rsidRDefault="001D7A97" w:rsidP="00426413">
      <w:pPr>
        <w:pStyle w:val="Estilo1"/>
        <w:rPr>
          <w:lang w:val="es-ES"/>
        </w:rPr>
      </w:pPr>
      <w:bookmarkStart w:id="22" w:name="_Toc526368746"/>
      <w:bookmarkStart w:id="23" w:name="_Toc526369793"/>
      <w:r w:rsidRPr="007F04DE">
        <w:rPr>
          <w:lang w:val="es-ES"/>
        </w:rPr>
        <w:t>Conclusiones y recomendaciones</w:t>
      </w:r>
      <w:bookmarkEnd w:id="22"/>
      <w:bookmarkEnd w:id="23"/>
    </w:p>
    <w:p w14:paraId="56E22127" w14:textId="77777777" w:rsidR="001D7A97" w:rsidRPr="007F04DE" w:rsidRDefault="001D7A97" w:rsidP="004C6109">
      <w:pPr>
        <w:pStyle w:val="PresentacinTitulo"/>
        <w:numPr>
          <w:ilvl w:val="0"/>
          <w:numId w:val="0"/>
        </w:numPr>
        <w:ind w:left="720"/>
        <w:rPr>
          <w:lang w:val="es-ES"/>
        </w:rPr>
      </w:pPr>
    </w:p>
    <w:p w14:paraId="3C1EBEF8" w14:textId="1768F087" w:rsidR="001D7A97" w:rsidRPr="007F04DE" w:rsidRDefault="001D7A97" w:rsidP="001D7A97">
      <w:pPr>
        <w:ind w:left="709"/>
        <w:jc w:val="both"/>
        <w:rPr>
          <w:rFonts w:ascii="Arial" w:hAnsi="Arial" w:cs="Arial"/>
          <w:sz w:val="22"/>
          <w:lang w:val="es-ES"/>
        </w:rPr>
      </w:pPr>
      <w:r w:rsidRPr="007F04DE">
        <w:rPr>
          <w:rFonts w:ascii="Arial" w:hAnsi="Arial" w:cs="Arial"/>
          <w:sz w:val="22"/>
          <w:lang w:val="es-ES"/>
        </w:rPr>
        <w:t xml:space="preserve">Los proyectos y gestiones normativas que propone el PCHQ se orientan a asegurar la provisión de vivienda. No obstante, es importante también que el PCHQ contemple mecanismos de organización e identificación de la demanda, los cuales a su vez promoverán el desarrollo de viviendas con las características que la población que pretende atender requiere. Además de este aspecto, el análisis realizado en el presente documento concluye que los proyectos y gestiones normativas son relevantes y pertinentes, aunque se debe ahondar en la definición de los mecanismos de incentivos como los créditos tributarios y en la evaluación financiera de las propuestas. </w:t>
      </w:r>
    </w:p>
    <w:sectPr w:rsidR="001D7A97" w:rsidRPr="007F04DE" w:rsidSect="00956CBA">
      <w:footerReference w:type="even" r:id="rId9"/>
      <w:footerReference w:type="default" r:id="rId10"/>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F65A" w14:textId="77777777" w:rsidR="004C38F7" w:rsidRDefault="004C38F7" w:rsidP="007B68AF">
      <w:r>
        <w:separator/>
      </w:r>
    </w:p>
  </w:endnote>
  <w:endnote w:type="continuationSeparator" w:id="0">
    <w:p w14:paraId="417AABDA" w14:textId="77777777" w:rsidR="004C38F7" w:rsidRDefault="004C38F7" w:rsidP="007B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1746" w14:textId="77777777" w:rsidR="00956CBA" w:rsidRDefault="00956CBA" w:rsidP="00762C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1F53F2" w14:textId="77777777" w:rsidR="00956CBA" w:rsidRDefault="00956CBA" w:rsidP="00956CB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A304B" w14:textId="77777777" w:rsidR="00956CBA" w:rsidRDefault="00956CBA" w:rsidP="00762C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14A7">
      <w:rPr>
        <w:rStyle w:val="Nmerodepgina"/>
        <w:noProof/>
      </w:rPr>
      <w:t>7</w:t>
    </w:r>
    <w:r>
      <w:rPr>
        <w:rStyle w:val="Nmerodepgina"/>
      </w:rPr>
      <w:fldChar w:fldCharType="end"/>
    </w:r>
  </w:p>
  <w:p w14:paraId="32DAF1C7" w14:textId="77777777" w:rsidR="00956CBA" w:rsidRDefault="00956CBA" w:rsidP="00956CB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825F" w14:textId="77777777" w:rsidR="004C38F7" w:rsidRDefault="004C38F7" w:rsidP="007B68AF">
      <w:r>
        <w:separator/>
      </w:r>
    </w:p>
  </w:footnote>
  <w:footnote w:type="continuationSeparator" w:id="0">
    <w:p w14:paraId="5C862010" w14:textId="77777777" w:rsidR="004C38F7" w:rsidRDefault="004C38F7" w:rsidP="007B68AF">
      <w:r>
        <w:continuationSeparator/>
      </w:r>
    </w:p>
  </w:footnote>
  <w:footnote w:id="1">
    <w:p w14:paraId="12B2B541" w14:textId="77777777" w:rsidR="007F04DE" w:rsidRPr="00956CBA" w:rsidRDefault="007F04DE" w:rsidP="00F80AC6">
      <w:pPr>
        <w:jc w:val="both"/>
        <w:rPr>
          <w:rFonts w:ascii="Arial" w:hAnsi="Arial" w:cs="Arial"/>
          <w:i/>
          <w:color w:val="262626" w:themeColor="text1" w:themeTint="D9"/>
        </w:rPr>
      </w:pPr>
      <w:r>
        <w:rPr>
          <w:rStyle w:val="Refdenotaalpie"/>
        </w:rPr>
        <w:footnoteRef/>
      </w:r>
      <w:r>
        <w:t xml:space="preserve"> </w:t>
      </w:r>
      <w:r w:rsidRPr="00956CBA">
        <w:rPr>
          <w:rFonts w:ascii="Arial" w:hAnsi="Arial" w:cs="Arial"/>
          <w:i/>
          <w:color w:val="262626" w:themeColor="text1" w:themeTint="D9"/>
        </w:rPr>
        <w:t>Plan de Desarrollo Integral del Centro Histórico de Quito (Plan Parcial) – IMP (versión al 18 de junio del 2018). Elaboración: IMP-Oficina Plan CHQ. Fuente: INEC, 2010 (p. 121)</w:t>
      </w:r>
    </w:p>
  </w:footnote>
  <w:footnote w:id="2">
    <w:p w14:paraId="75DE22E0" w14:textId="16A67444" w:rsidR="00F80AC6" w:rsidRPr="00956CBA" w:rsidRDefault="00F80AC6" w:rsidP="00956CBA">
      <w:pPr>
        <w:rPr>
          <w:rFonts w:ascii="Arial" w:hAnsi="Arial" w:cs="Arial"/>
          <w:lang w:val="es-PE" w:eastAsia="es-ES"/>
        </w:rPr>
      </w:pPr>
      <w:r w:rsidRPr="00956CBA">
        <w:rPr>
          <w:rStyle w:val="Refdenotaalpie"/>
          <w:rFonts w:ascii="Arial" w:hAnsi="Arial"/>
        </w:rPr>
        <w:footnoteRef/>
      </w:r>
      <w:r w:rsidRPr="00956CBA">
        <w:rPr>
          <w:rFonts w:ascii="Arial" w:hAnsi="Arial"/>
        </w:rPr>
        <w:t xml:space="preserve"> </w:t>
      </w:r>
      <w:r w:rsidRPr="00956CBA">
        <w:rPr>
          <w:rFonts w:ascii="Arial" w:hAnsi="Arial" w:cs="Arial"/>
        </w:rPr>
        <w:t xml:space="preserve">Instituto Nacional de </w:t>
      </w:r>
      <w:r w:rsidR="009914A7" w:rsidRPr="00956CBA">
        <w:rPr>
          <w:rFonts w:ascii="Arial" w:hAnsi="Arial" w:cs="Arial"/>
        </w:rPr>
        <w:t>Estadística</w:t>
      </w:r>
      <w:r w:rsidRPr="00956CBA">
        <w:rPr>
          <w:rFonts w:ascii="Arial" w:hAnsi="Arial" w:cs="Arial"/>
        </w:rPr>
        <w:t xml:space="preserve"> y Censos (n.d.). </w:t>
      </w:r>
      <w:r w:rsidRPr="00956CBA">
        <w:rPr>
          <w:rFonts w:ascii="Arial" w:hAnsi="Arial" w:cs="Arial"/>
          <w:i/>
        </w:rPr>
        <w:t xml:space="preserve">Resultados del Censo 2010 de Población y Vivienda en el Ecuador. </w:t>
      </w:r>
      <w:r w:rsidRPr="00956CBA">
        <w:rPr>
          <w:rFonts w:ascii="Arial" w:hAnsi="Arial" w:cs="Arial"/>
        </w:rPr>
        <w:t>Quito: INEC, p.7.</w:t>
      </w:r>
    </w:p>
  </w:footnote>
  <w:footnote w:id="3">
    <w:p w14:paraId="4B16B588" w14:textId="5DC90B44" w:rsidR="00F80AC6" w:rsidRPr="00956CBA" w:rsidRDefault="00F80AC6" w:rsidP="00956CBA">
      <w:pPr>
        <w:jc w:val="both"/>
        <w:rPr>
          <w:rFonts w:ascii="Arial" w:hAnsi="Arial" w:cs="Arial"/>
          <w:lang w:val="es-PE" w:eastAsia="es-ES"/>
        </w:rPr>
      </w:pPr>
      <w:r w:rsidRPr="00956CBA">
        <w:rPr>
          <w:rStyle w:val="Refdenotaalpie"/>
          <w:rFonts w:ascii="Arial" w:hAnsi="Arial"/>
        </w:rPr>
        <w:footnoteRef/>
      </w:r>
      <w:r w:rsidRPr="00956CBA">
        <w:rPr>
          <w:rFonts w:ascii="Arial" w:hAnsi="Arial"/>
        </w:rPr>
        <w:t xml:space="preserve"> </w:t>
      </w:r>
      <w:r w:rsidRPr="00956CBA">
        <w:rPr>
          <w:rFonts w:ascii="Arial" w:hAnsi="Arial" w:cs="Arial"/>
          <w:lang w:val="es-PE" w:eastAsia="es-ES"/>
        </w:rPr>
        <w:t>Censo De Población Y Vivienda (Cpv-2010) Total De Hogares Con Viviendas Particulares Con Personas Presentes Por Provincia, Cantón Y Parroquia De Empadronamiento, Según Tenencia De Vivienda. (2018). [Archivo excel] www.ecuadorencifras.com, Quito.</w:t>
      </w:r>
    </w:p>
  </w:footnote>
  <w:footnote w:id="4">
    <w:p w14:paraId="50194BD9" w14:textId="5069B6D2" w:rsidR="00F80AC6" w:rsidRPr="00956CBA" w:rsidRDefault="00F80AC6" w:rsidP="00956CBA">
      <w:pPr>
        <w:jc w:val="both"/>
        <w:rPr>
          <w:lang w:val="es-PE" w:eastAsia="es-ES"/>
        </w:rPr>
      </w:pPr>
      <w:r w:rsidRPr="00F80AC6">
        <w:rPr>
          <w:rStyle w:val="Refdenotaalpie"/>
          <w:rFonts w:ascii="Arial" w:hAnsi="Arial" w:cs="Arial"/>
          <w:color w:val="262626" w:themeColor="text1" w:themeTint="D9"/>
        </w:rPr>
        <w:footnoteRef/>
      </w:r>
      <w:r w:rsidRPr="00F80AC6">
        <w:rPr>
          <w:rFonts w:ascii="Arial" w:hAnsi="Arial" w:cs="Arial"/>
          <w:color w:val="262626" w:themeColor="text1" w:themeTint="D9"/>
        </w:rPr>
        <w:t xml:space="preserve"> Ver: (Blanco, Fretes Cibils and Muñoz, 2014); Gilbert, A. (2015); </w:t>
      </w:r>
      <w:r w:rsidRPr="00F80AC6">
        <w:rPr>
          <w:rFonts w:ascii="Arial" w:hAnsi="Arial" w:cs="Arial"/>
          <w:color w:val="262626" w:themeColor="text1" w:themeTint="D9"/>
          <w:lang w:val="es-PE" w:eastAsia="es-ES"/>
        </w:rPr>
        <w:t>Peppe</w:t>
      </w:r>
      <w:r>
        <w:rPr>
          <w:rFonts w:ascii="Arial" w:hAnsi="Arial" w:cs="Arial"/>
          <w:color w:val="262626" w:themeColor="text1" w:themeTint="D9"/>
          <w:lang w:val="es-PE" w:eastAsia="es-ES"/>
        </w:rPr>
        <w:t>rcorn, I. and Taffin, C. (2013)</w:t>
      </w:r>
    </w:p>
  </w:footnote>
  <w:footnote w:id="5">
    <w:p w14:paraId="1AD89E2B" w14:textId="74875ABA" w:rsidR="00956CBA" w:rsidRDefault="00956CBA" w:rsidP="00956CBA">
      <w:pPr>
        <w:pStyle w:val="Textonotapie"/>
        <w:jc w:val="both"/>
      </w:pPr>
      <w:r>
        <w:rPr>
          <w:rStyle w:val="Refdenotaalpie"/>
        </w:rPr>
        <w:footnoteRef/>
      </w:r>
      <w:r>
        <w:t xml:space="preserve"> </w:t>
      </w:r>
      <w:r w:rsidRPr="00956CBA">
        <w:rPr>
          <w:rFonts w:ascii="Arial" w:hAnsi="Arial"/>
          <w:sz w:val="20"/>
          <w:szCs w:val="20"/>
        </w:rPr>
        <w:t xml:space="preserve">El Componente 1.1. del Informe 1 del presente trabajo ha consistido en un reporte de prácticas que se orientan a alcanzar dichas metas. </w:t>
      </w:r>
    </w:p>
  </w:footnote>
  <w:footnote w:id="6">
    <w:p w14:paraId="6E6DBB23" w14:textId="09EDF6E2" w:rsidR="002A7B1E" w:rsidRPr="002A7B1E" w:rsidRDefault="002A7B1E" w:rsidP="00BE1201">
      <w:pPr>
        <w:pStyle w:val="Textonotapie"/>
        <w:jc w:val="both"/>
      </w:pPr>
      <w:r>
        <w:rPr>
          <w:rStyle w:val="Refdenotaalpie"/>
        </w:rPr>
        <w:footnoteRef/>
      </w:r>
      <w:r>
        <w:t xml:space="preserve"> </w:t>
      </w:r>
      <w:r w:rsidRPr="00BE1201">
        <w:rPr>
          <w:rFonts w:ascii="Arial" w:hAnsi="Arial" w:cs="Arial"/>
          <w:sz w:val="20"/>
        </w:rPr>
        <w:t>E</w:t>
      </w:r>
      <w:r w:rsidR="00BE1201" w:rsidRPr="00BE1201">
        <w:rPr>
          <w:rFonts w:ascii="Arial" w:hAnsi="Arial" w:cs="Arial"/>
          <w:sz w:val="20"/>
        </w:rPr>
        <w:t xml:space="preserve">n la presente consultoría se entiende por </w:t>
      </w:r>
      <w:r w:rsidR="00BE1201" w:rsidRPr="00BE1201">
        <w:rPr>
          <w:rFonts w:ascii="Arial" w:hAnsi="Arial" w:cs="Arial"/>
          <w:i/>
          <w:sz w:val="20"/>
        </w:rPr>
        <w:t>gestión de la demanda</w:t>
      </w:r>
      <w:r w:rsidR="00BE1201" w:rsidRPr="00BE1201">
        <w:rPr>
          <w:rFonts w:ascii="Arial" w:hAnsi="Arial" w:cs="Arial"/>
          <w:sz w:val="20"/>
        </w:rPr>
        <w:t xml:space="preserve"> a los procesos necesarios para la identificación, organización, selección y priorización de beneficiarios.</w:t>
      </w:r>
    </w:p>
  </w:footnote>
  <w:footnote w:id="7">
    <w:p w14:paraId="47C9E6B3" w14:textId="1B6D8AFD" w:rsidR="00956CBA" w:rsidRDefault="00956CBA">
      <w:pPr>
        <w:pStyle w:val="Textonotapie"/>
      </w:pPr>
      <w:r>
        <w:rPr>
          <w:rStyle w:val="Refdenotaalpie"/>
        </w:rPr>
        <w:footnoteRef/>
      </w:r>
      <w:r>
        <w:t xml:space="preserve"> </w:t>
      </w:r>
      <w:r w:rsidRPr="00956CBA">
        <w:rPr>
          <w:rFonts w:ascii="Arial" w:hAnsi="Arial" w:cs="Arial"/>
          <w:i/>
          <w:color w:val="262626" w:themeColor="text1" w:themeTint="D9"/>
          <w:sz w:val="20"/>
        </w:rPr>
        <w:t>Plan de Desarrollo Integral del Centro Histórico de Quito (Plan Parcial) – IMP (versión al 18 de junio del 2018). Elaboración: IMP-Oficina Plan</w:t>
      </w:r>
      <w:r>
        <w:rPr>
          <w:rFonts w:ascii="Arial" w:hAnsi="Arial" w:cs="Arial"/>
          <w:i/>
          <w:color w:val="262626" w:themeColor="text1" w:themeTint="D9"/>
          <w:sz w:val="20"/>
        </w:rPr>
        <w:t xml:space="preserve"> CHQ. Fuente: INEC, 2010 (p. 128</w:t>
      </w:r>
      <w:r w:rsidRPr="00956CBA">
        <w:rPr>
          <w:rFonts w:ascii="Arial" w:hAnsi="Arial" w:cs="Arial"/>
          <w:i/>
          <w:color w:val="262626" w:themeColor="text1" w:themeTint="D9"/>
          <w:sz w:val="20"/>
        </w:rPr>
        <w:t>)</w:t>
      </w:r>
    </w:p>
  </w:footnote>
  <w:footnote w:id="8">
    <w:p w14:paraId="3920DD6A" w14:textId="253EDD74" w:rsidR="00956CBA" w:rsidRDefault="00956CBA" w:rsidP="00956CBA">
      <w:pPr>
        <w:pStyle w:val="Textonotapie"/>
        <w:jc w:val="both"/>
      </w:pPr>
      <w:r>
        <w:rPr>
          <w:rStyle w:val="Refdenotaalpie"/>
        </w:rPr>
        <w:footnoteRef/>
      </w:r>
      <w:r>
        <w:t xml:space="preserve"> </w:t>
      </w:r>
      <w:r w:rsidRPr="00956CBA">
        <w:rPr>
          <w:rFonts w:ascii="Arial" w:hAnsi="Arial" w:cs="Arial"/>
          <w:sz w:val="20"/>
          <w:szCs w:val="20"/>
        </w:rPr>
        <w:t xml:space="preserve">Gilbert, A., Rental housing: The international experience, </w:t>
      </w:r>
      <w:r w:rsidRPr="00956CBA">
        <w:rPr>
          <w:rFonts w:ascii="Arial" w:hAnsi="Arial" w:cs="Arial"/>
          <w:i/>
          <w:sz w:val="20"/>
          <w:szCs w:val="20"/>
        </w:rPr>
        <w:t>Habitat International</w:t>
      </w:r>
      <w:r w:rsidRPr="00956CBA">
        <w:rPr>
          <w:rFonts w:ascii="Arial" w:hAnsi="Arial" w:cs="Arial"/>
          <w:sz w:val="20"/>
          <w:szCs w:val="20"/>
        </w:rPr>
        <w:t xml:space="preserve"> (2015), http://dx.doi.org/10.1016/j.habitatint.2015.11.025</w:t>
      </w:r>
    </w:p>
  </w:footnote>
  <w:footnote w:id="9">
    <w:p w14:paraId="5C47FA45" w14:textId="76C6B68A" w:rsidR="001D7A97" w:rsidRDefault="001D7A97" w:rsidP="001D7A97">
      <w:pPr>
        <w:pStyle w:val="Textonotapie"/>
        <w:jc w:val="both"/>
      </w:pPr>
      <w:r>
        <w:rPr>
          <w:rStyle w:val="Refdenotaalpie"/>
        </w:rPr>
        <w:footnoteRef/>
      </w:r>
      <w:r>
        <w:t xml:space="preserve"> </w:t>
      </w:r>
      <w:r w:rsidRPr="001D7A97">
        <w:rPr>
          <w:rFonts w:ascii="Arial" w:hAnsi="Arial" w:cs="Arial"/>
          <w:sz w:val="20"/>
          <w:szCs w:val="20"/>
          <w:lang w:val="es-ES"/>
        </w:rPr>
        <w:t>En el Componente 1.1 del Informe 1, se reseñan experiencias que hacen uso de mecanismos de descuento de este tipo tales como el caso de Seattle y La Antigua Ciudad de Hebrón.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007A"/>
    <w:multiLevelType w:val="hybridMultilevel"/>
    <w:tmpl w:val="134CA20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ED534F"/>
    <w:multiLevelType w:val="hybridMultilevel"/>
    <w:tmpl w:val="A1084C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5616CC"/>
    <w:multiLevelType w:val="multilevel"/>
    <w:tmpl w:val="75AA9A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AC2C16"/>
    <w:multiLevelType w:val="multilevel"/>
    <w:tmpl w:val="49A0F862"/>
    <w:lvl w:ilvl="0">
      <w:start w:val="1"/>
      <w:numFmt w:val="decimal"/>
      <w:pStyle w:val="PresentacinTitulo"/>
      <w:lvlText w:val="%1."/>
      <w:lvlJc w:val="left"/>
      <w:pPr>
        <w:ind w:left="720" w:hanging="360"/>
      </w:pPr>
      <w:rPr>
        <w:rFonts w:hint="default"/>
      </w:rPr>
    </w:lvl>
    <w:lvl w:ilvl="1">
      <w:start w:val="1"/>
      <w:numFmt w:val="decimal"/>
      <w:pStyle w:val="21AnlisisdelaEstrategia-Proyecto"/>
      <w:isLgl/>
      <w:lvlText w:val="%1.%2."/>
      <w:lvlJc w:val="left"/>
      <w:pPr>
        <w:ind w:left="1287" w:hanging="720"/>
      </w:pPr>
      <w:rPr>
        <w:rFonts w:hint="default"/>
      </w:rPr>
    </w:lvl>
    <w:lvl w:ilvl="2">
      <w:start w:val="1"/>
      <w:numFmt w:val="decimal"/>
      <w:pStyle w:val="211"/>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66261687"/>
    <w:multiLevelType w:val="hybridMultilevel"/>
    <w:tmpl w:val="FF4237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0"/>
  </w:num>
  <w:num w:numId="6">
    <w:abstractNumId w:val="4"/>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A9"/>
    <w:rsid w:val="000019F9"/>
    <w:rsid w:val="00026B09"/>
    <w:rsid w:val="000B4D26"/>
    <w:rsid w:val="000F7278"/>
    <w:rsid w:val="00136F9D"/>
    <w:rsid w:val="00155369"/>
    <w:rsid w:val="001B090E"/>
    <w:rsid w:val="001D2859"/>
    <w:rsid w:val="001D7A97"/>
    <w:rsid w:val="001E1105"/>
    <w:rsid w:val="001F299C"/>
    <w:rsid w:val="00206A90"/>
    <w:rsid w:val="00225E5D"/>
    <w:rsid w:val="0028062D"/>
    <w:rsid w:val="00296E52"/>
    <w:rsid w:val="002A7B1E"/>
    <w:rsid w:val="002B19DE"/>
    <w:rsid w:val="002B4851"/>
    <w:rsid w:val="002D1A81"/>
    <w:rsid w:val="002D3F41"/>
    <w:rsid w:val="0036677D"/>
    <w:rsid w:val="003741EE"/>
    <w:rsid w:val="00386FB2"/>
    <w:rsid w:val="003961F1"/>
    <w:rsid w:val="003C1C53"/>
    <w:rsid w:val="00402354"/>
    <w:rsid w:val="00404DFE"/>
    <w:rsid w:val="00426413"/>
    <w:rsid w:val="0042786A"/>
    <w:rsid w:val="004A1F62"/>
    <w:rsid w:val="004A55BB"/>
    <w:rsid w:val="004C026D"/>
    <w:rsid w:val="004C38F7"/>
    <w:rsid w:val="004C6109"/>
    <w:rsid w:val="00524F6B"/>
    <w:rsid w:val="005254C7"/>
    <w:rsid w:val="00540DC7"/>
    <w:rsid w:val="00575430"/>
    <w:rsid w:val="0058543A"/>
    <w:rsid w:val="005925ED"/>
    <w:rsid w:val="005F2E2F"/>
    <w:rsid w:val="00650F9C"/>
    <w:rsid w:val="00652111"/>
    <w:rsid w:val="006B65E0"/>
    <w:rsid w:val="006C4E66"/>
    <w:rsid w:val="006E6485"/>
    <w:rsid w:val="00721EDE"/>
    <w:rsid w:val="0072767C"/>
    <w:rsid w:val="00746DD2"/>
    <w:rsid w:val="00795B60"/>
    <w:rsid w:val="007A4A17"/>
    <w:rsid w:val="007B68AF"/>
    <w:rsid w:val="007D1A9E"/>
    <w:rsid w:val="007F04DE"/>
    <w:rsid w:val="007F2337"/>
    <w:rsid w:val="007F488C"/>
    <w:rsid w:val="00850C73"/>
    <w:rsid w:val="00890554"/>
    <w:rsid w:val="008E28B4"/>
    <w:rsid w:val="009245EE"/>
    <w:rsid w:val="00956CBA"/>
    <w:rsid w:val="00977CF6"/>
    <w:rsid w:val="00990624"/>
    <w:rsid w:val="009914A7"/>
    <w:rsid w:val="00995D7D"/>
    <w:rsid w:val="00995F85"/>
    <w:rsid w:val="00A20495"/>
    <w:rsid w:val="00AD2AB5"/>
    <w:rsid w:val="00AE4E15"/>
    <w:rsid w:val="00AF5EC4"/>
    <w:rsid w:val="00B12095"/>
    <w:rsid w:val="00B333E3"/>
    <w:rsid w:val="00B47630"/>
    <w:rsid w:val="00B519AF"/>
    <w:rsid w:val="00B84326"/>
    <w:rsid w:val="00BB3D6D"/>
    <w:rsid w:val="00BE1201"/>
    <w:rsid w:val="00BE26F9"/>
    <w:rsid w:val="00BF3444"/>
    <w:rsid w:val="00C14DD5"/>
    <w:rsid w:val="00C16AF8"/>
    <w:rsid w:val="00C32820"/>
    <w:rsid w:val="00D119E9"/>
    <w:rsid w:val="00D34AE0"/>
    <w:rsid w:val="00D3559D"/>
    <w:rsid w:val="00D413BF"/>
    <w:rsid w:val="00D85611"/>
    <w:rsid w:val="00DB78B6"/>
    <w:rsid w:val="00E00AC8"/>
    <w:rsid w:val="00E065A9"/>
    <w:rsid w:val="00E2268A"/>
    <w:rsid w:val="00E26479"/>
    <w:rsid w:val="00E8674D"/>
    <w:rsid w:val="00EA1B1C"/>
    <w:rsid w:val="00EC1FDD"/>
    <w:rsid w:val="00EC284F"/>
    <w:rsid w:val="00F03C4A"/>
    <w:rsid w:val="00F14C22"/>
    <w:rsid w:val="00F35DFB"/>
    <w:rsid w:val="00F43A04"/>
    <w:rsid w:val="00F70B86"/>
    <w:rsid w:val="00F80AC6"/>
    <w:rsid w:val="00FB5DEF"/>
    <w:rsid w:val="00FD703D"/>
    <w:rsid w:val="00FE5FD5"/>
    <w:rsid w:val="00FF49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CD27E"/>
  <w14:defaultImageDpi w14:val="300"/>
  <w15:docId w15:val="{58A6034E-B038-3547-AE0B-2BCEA06C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5A9"/>
    <w:rPr>
      <w:rFonts w:ascii="Times New Roman" w:eastAsia="Times New Roman" w:hAnsi="Times New Roman" w:cs="Times New Roman"/>
      <w:sz w:val="20"/>
      <w:szCs w:val="20"/>
      <w:lang w:eastAsia="en-US"/>
    </w:rPr>
  </w:style>
  <w:style w:type="paragraph" w:styleId="Ttulo1">
    <w:name w:val="heading 1"/>
    <w:aliases w:val="2.1. Titulo 2.1"/>
    <w:basedOn w:val="21AnlisisdelaEstrategia-Proyecto"/>
    <w:next w:val="Normal"/>
    <w:link w:val="Ttulo1Car"/>
    <w:uiPriority w:val="9"/>
    <w:qFormat/>
    <w:rsid w:val="004C6109"/>
    <w:pPr>
      <w:outlineLvl w:val="0"/>
    </w:pPr>
  </w:style>
  <w:style w:type="paragraph" w:styleId="Ttulo2">
    <w:name w:val="heading 2"/>
    <w:basedOn w:val="Normal"/>
    <w:next w:val="Normal"/>
    <w:link w:val="Ttulo2Car"/>
    <w:uiPriority w:val="9"/>
    <w:semiHidden/>
    <w:unhideWhenUsed/>
    <w:qFormat/>
    <w:rsid w:val="00AD2A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D2AB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E28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PresentacinTitulo"/>
    <w:qFormat/>
    <w:rsid w:val="00DB78B6"/>
  </w:style>
  <w:style w:type="character" w:customStyle="1" w:styleId="Ttulo1Car">
    <w:name w:val="Título 1 Car"/>
    <w:aliases w:val="2.1. Titulo 2.1 Car"/>
    <w:basedOn w:val="Fuentedeprrafopredeter"/>
    <w:link w:val="Ttulo1"/>
    <w:uiPriority w:val="9"/>
    <w:rsid w:val="004C6109"/>
    <w:rPr>
      <w:rFonts w:ascii="Arial" w:eastAsia="Times New Roman" w:hAnsi="Arial" w:cs="Times New Roman"/>
      <w:b/>
      <w:color w:val="000000"/>
      <w:sz w:val="22"/>
      <w:szCs w:val="22"/>
      <w:lang w:eastAsia="en-US"/>
    </w:rPr>
  </w:style>
  <w:style w:type="paragraph" w:styleId="TDC1">
    <w:name w:val="toc 1"/>
    <w:aliases w:val="Componente (BID 1.2)"/>
    <w:next w:val="Normal"/>
    <w:autoRedefine/>
    <w:uiPriority w:val="39"/>
    <w:unhideWhenUsed/>
    <w:qFormat/>
    <w:rsid w:val="00426413"/>
    <w:pPr>
      <w:spacing w:before="360"/>
    </w:pPr>
    <w:rPr>
      <w:rFonts w:ascii="Arial" w:eastAsia="Times New Roman" w:hAnsi="Arial" w:cstheme="majorHAnsi"/>
      <w:b/>
      <w:bCs/>
      <w:caps/>
      <w:sz w:val="22"/>
      <w:lang w:eastAsia="en-US"/>
    </w:rPr>
  </w:style>
  <w:style w:type="paragraph" w:customStyle="1" w:styleId="Normal1">
    <w:name w:val="Normal1"/>
    <w:rsid w:val="0072767C"/>
    <w:rPr>
      <w:rFonts w:ascii="Cambria" w:eastAsia="Cambria" w:hAnsi="Cambria" w:cs="Cambria"/>
      <w:lang w:val="uz-Cyrl-UZ"/>
    </w:rPr>
  </w:style>
  <w:style w:type="paragraph" w:styleId="Prrafodelista">
    <w:name w:val="List Paragraph"/>
    <w:basedOn w:val="Normal"/>
    <w:uiPriority w:val="34"/>
    <w:qFormat/>
    <w:rsid w:val="004A1F62"/>
    <w:pPr>
      <w:ind w:left="720"/>
      <w:contextualSpacing/>
    </w:pPr>
  </w:style>
  <w:style w:type="paragraph" w:customStyle="1" w:styleId="PresentacinTitulo">
    <w:name w:val="Presentación Titulo"/>
    <w:basedOn w:val="Prrafodelista"/>
    <w:qFormat/>
    <w:rsid w:val="004C6109"/>
    <w:pPr>
      <w:numPr>
        <w:numId w:val="2"/>
      </w:numPr>
    </w:pPr>
    <w:rPr>
      <w:rFonts w:ascii="Arial" w:hAnsi="Arial" w:cs="Arial"/>
      <w:b/>
      <w:color w:val="000000"/>
      <w:sz w:val="24"/>
    </w:rPr>
  </w:style>
  <w:style w:type="paragraph" w:styleId="Textonotapie">
    <w:name w:val="footnote text"/>
    <w:basedOn w:val="Normal"/>
    <w:link w:val="TextonotapieCar"/>
    <w:uiPriority w:val="99"/>
    <w:unhideWhenUsed/>
    <w:rsid w:val="00B519AF"/>
    <w:rPr>
      <w:sz w:val="24"/>
      <w:szCs w:val="24"/>
    </w:rPr>
  </w:style>
  <w:style w:type="character" w:customStyle="1" w:styleId="TextonotapieCar">
    <w:name w:val="Texto nota pie Car"/>
    <w:basedOn w:val="Fuentedeprrafopredeter"/>
    <w:link w:val="Textonotapie"/>
    <w:uiPriority w:val="99"/>
    <w:rsid w:val="00B519AF"/>
    <w:rPr>
      <w:rFonts w:ascii="Times New Roman" w:eastAsia="Times New Roman" w:hAnsi="Times New Roman" w:cs="Times New Roman"/>
      <w:lang w:eastAsia="en-US"/>
    </w:rPr>
  </w:style>
  <w:style w:type="character" w:styleId="Refdenotaalpie">
    <w:name w:val="footnote reference"/>
    <w:basedOn w:val="Fuentedeprrafopredeter"/>
    <w:uiPriority w:val="99"/>
    <w:unhideWhenUsed/>
    <w:rsid w:val="00B519AF"/>
    <w:rPr>
      <w:vertAlign w:val="superscript"/>
    </w:rPr>
  </w:style>
  <w:style w:type="paragraph" w:customStyle="1" w:styleId="21AnlisisdelaEstrategia-Proyecto">
    <w:name w:val="2.1. Análisis de la Estrategia - Proyecto"/>
    <w:basedOn w:val="Prrafodelista"/>
    <w:qFormat/>
    <w:rsid w:val="00AF5EC4"/>
    <w:pPr>
      <w:numPr>
        <w:ilvl w:val="1"/>
        <w:numId w:val="2"/>
      </w:numPr>
    </w:pPr>
    <w:rPr>
      <w:rFonts w:ascii="Arial" w:hAnsi="Arial"/>
      <w:b/>
      <w:color w:val="000000"/>
      <w:sz w:val="22"/>
      <w:szCs w:val="22"/>
    </w:rPr>
  </w:style>
  <w:style w:type="paragraph" w:styleId="Textodeglobo">
    <w:name w:val="Balloon Text"/>
    <w:basedOn w:val="Normal"/>
    <w:link w:val="TextodegloboCar"/>
    <w:uiPriority w:val="99"/>
    <w:semiHidden/>
    <w:unhideWhenUsed/>
    <w:rsid w:val="00B4763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7630"/>
    <w:rPr>
      <w:rFonts w:ascii="Lucida Grande" w:eastAsia="Times New Roman" w:hAnsi="Lucida Grande" w:cs="Lucida Grande"/>
      <w:sz w:val="18"/>
      <w:szCs w:val="18"/>
      <w:lang w:eastAsia="en-US"/>
    </w:rPr>
  </w:style>
  <w:style w:type="paragraph" w:customStyle="1" w:styleId="Estilo2">
    <w:name w:val="Estilo2"/>
    <w:basedOn w:val="21AnlisisdelaEstrategia-Proyecto"/>
    <w:qFormat/>
    <w:rsid w:val="00D119E9"/>
    <w:pPr>
      <w:numPr>
        <w:ilvl w:val="0"/>
        <w:numId w:val="0"/>
      </w:numPr>
      <w:ind w:left="1494" w:hanging="720"/>
    </w:pPr>
    <w:rPr>
      <w:color w:val="262626" w:themeColor="text1" w:themeTint="D9"/>
    </w:rPr>
  </w:style>
  <w:style w:type="paragraph" w:customStyle="1" w:styleId="211">
    <w:name w:val="2.1.1."/>
    <w:basedOn w:val="21AnlisisdelaEstrategia-Proyecto"/>
    <w:qFormat/>
    <w:rsid w:val="00D119E9"/>
    <w:pPr>
      <w:numPr>
        <w:ilvl w:val="2"/>
      </w:numPr>
    </w:pPr>
    <w:rPr>
      <w:color w:val="262626" w:themeColor="text1" w:themeTint="D9"/>
    </w:rPr>
  </w:style>
  <w:style w:type="paragraph" w:styleId="Piedepgina">
    <w:name w:val="footer"/>
    <w:basedOn w:val="Normal"/>
    <w:link w:val="PiedepginaCar"/>
    <w:uiPriority w:val="99"/>
    <w:unhideWhenUsed/>
    <w:rsid w:val="00956CBA"/>
    <w:pPr>
      <w:tabs>
        <w:tab w:val="center" w:pos="4252"/>
        <w:tab w:val="right" w:pos="8504"/>
      </w:tabs>
    </w:pPr>
  </w:style>
  <w:style w:type="character" w:customStyle="1" w:styleId="PiedepginaCar">
    <w:name w:val="Pie de página Car"/>
    <w:basedOn w:val="Fuentedeprrafopredeter"/>
    <w:link w:val="Piedepgina"/>
    <w:uiPriority w:val="99"/>
    <w:rsid w:val="00956CBA"/>
    <w:rPr>
      <w:rFonts w:ascii="Times New Roman" w:eastAsia="Times New Roman" w:hAnsi="Times New Roman" w:cs="Times New Roman"/>
      <w:sz w:val="20"/>
      <w:szCs w:val="20"/>
      <w:lang w:eastAsia="en-US"/>
    </w:rPr>
  </w:style>
  <w:style w:type="character" w:styleId="Nmerodepgina">
    <w:name w:val="page number"/>
    <w:basedOn w:val="Fuentedeprrafopredeter"/>
    <w:uiPriority w:val="99"/>
    <w:semiHidden/>
    <w:unhideWhenUsed/>
    <w:rsid w:val="00956CBA"/>
  </w:style>
  <w:style w:type="paragraph" w:styleId="Encabezado">
    <w:name w:val="header"/>
    <w:basedOn w:val="Normal"/>
    <w:link w:val="EncabezadoCar"/>
    <w:uiPriority w:val="99"/>
    <w:unhideWhenUsed/>
    <w:rsid w:val="00956CBA"/>
    <w:pPr>
      <w:tabs>
        <w:tab w:val="center" w:pos="4252"/>
        <w:tab w:val="right" w:pos="8504"/>
      </w:tabs>
    </w:pPr>
  </w:style>
  <w:style w:type="character" w:customStyle="1" w:styleId="EncabezadoCar">
    <w:name w:val="Encabezado Car"/>
    <w:basedOn w:val="Fuentedeprrafopredeter"/>
    <w:link w:val="Encabezado"/>
    <w:uiPriority w:val="99"/>
    <w:rsid w:val="00956CBA"/>
    <w:rPr>
      <w:rFonts w:ascii="Times New Roman" w:eastAsia="Times New Roman" w:hAnsi="Times New Roman" w:cs="Times New Roman"/>
      <w:sz w:val="20"/>
      <w:szCs w:val="20"/>
      <w:lang w:eastAsia="en-US"/>
    </w:rPr>
  </w:style>
  <w:style w:type="character" w:customStyle="1" w:styleId="Ttulo2Car">
    <w:name w:val="Título 2 Car"/>
    <w:basedOn w:val="Fuentedeprrafopredeter"/>
    <w:link w:val="Ttulo2"/>
    <w:uiPriority w:val="9"/>
    <w:semiHidden/>
    <w:rsid w:val="00AD2AB5"/>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AD2AB5"/>
    <w:rPr>
      <w:rFonts w:asciiTheme="majorHAnsi" w:eastAsiaTheme="majorEastAsia" w:hAnsiTheme="majorHAnsi" w:cstheme="majorBidi"/>
      <w:color w:val="243F60" w:themeColor="accent1" w:themeShade="7F"/>
      <w:lang w:eastAsia="en-US"/>
    </w:rPr>
  </w:style>
  <w:style w:type="paragraph" w:styleId="TDC2">
    <w:name w:val="toc 2"/>
    <w:basedOn w:val="Normal"/>
    <w:next w:val="Normal"/>
    <w:autoRedefine/>
    <w:uiPriority w:val="39"/>
    <w:unhideWhenUsed/>
    <w:rsid w:val="00AD2AB5"/>
    <w:pPr>
      <w:spacing w:before="240"/>
    </w:pPr>
    <w:rPr>
      <w:rFonts w:asciiTheme="minorHAnsi" w:hAnsiTheme="minorHAnsi"/>
      <w:b/>
      <w:bCs/>
    </w:rPr>
  </w:style>
  <w:style w:type="paragraph" w:styleId="TDC3">
    <w:name w:val="toc 3"/>
    <w:basedOn w:val="Normal"/>
    <w:next w:val="Normal"/>
    <w:autoRedefine/>
    <w:uiPriority w:val="39"/>
    <w:unhideWhenUsed/>
    <w:rsid w:val="00AD2AB5"/>
    <w:pPr>
      <w:ind w:left="200"/>
    </w:pPr>
    <w:rPr>
      <w:rFonts w:asciiTheme="minorHAnsi" w:hAnsiTheme="minorHAnsi"/>
    </w:rPr>
  </w:style>
  <w:style w:type="character" w:styleId="Hipervnculo">
    <w:name w:val="Hyperlink"/>
    <w:basedOn w:val="Fuentedeprrafopredeter"/>
    <w:uiPriority w:val="99"/>
    <w:unhideWhenUsed/>
    <w:rsid w:val="00AD2AB5"/>
    <w:rPr>
      <w:color w:val="0000FF" w:themeColor="hyperlink"/>
      <w:u w:val="single"/>
    </w:rPr>
  </w:style>
  <w:style w:type="paragraph" w:styleId="TDC4">
    <w:name w:val="toc 4"/>
    <w:basedOn w:val="Normal"/>
    <w:next w:val="Normal"/>
    <w:autoRedefine/>
    <w:uiPriority w:val="39"/>
    <w:unhideWhenUsed/>
    <w:rsid w:val="00AD2AB5"/>
    <w:pPr>
      <w:ind w:left="400"/>
    </w:pPr>
    <w:rPr>
      <w:rFonts w:asciiTheme="minorHAnsi" w:hAnsiTheme="minorHAnsi"/>
    </w:rPr>
  </w:style>
  <w:style w:type="character" w:customStyle="1" w:styleId="Ttulo4Car">
    <w:name w:val="Título 4 Car"/>
    <w:basedOn w:val="Fuentedeprrafopredeter"/>
    <w:link w:val="Ttulo4"/>
    <w:uiPriority w:val="9"/>
    <w:semiHidden/>
    <w:rsid w:val="008E28B4"/>
    <w:rPr>
      <w:rFonts w:asciiTheme="majorHAnsi" w:eastAsiaTheme="majorEastAsia" w:hAnsiTheme="majorHAnsi" w:cstheme="majorBidi"/>
      <w:i/>
      <w:iCs/>
      <w:color w:val="365F91" w:themeColor="accent1" w:themeShade="BF"/>
      <w:sz w:val="20"/>
      <w:szCs w:val="20"/>
      <w:lang w:eastAsia="en-US"/>
    </w:rPr>
  </w:style>
  <w:style w:type="paragraph" w:styleId="TDC5">
    <w:name w:val="toc 5"/>
    <w:basedOn w:val="Normal"/>
    <w:next w:val="Normal"/>
    <w:autoRedefine/>
    <w:uiPriority w:val="39"/>
    <w:unhideWhenUsed/>
    <w:rsid w:val="00DB78B6"/>
    <w:pPr>
      <w:ind w:left="600"/>
    </w:pPr>
    <w:rPr>
      <w:rFonts w:asciiTheme="minorHAnsi" w:hAnsiTheme="minorHAnsi"/>
    </w:rPr>
  </w:style>
  <w:style w:type="paragraph" w:styleId="TDC6">
    <w:name w:val="toc 6"/>
    <w:basedOn w:val="Normal"/>
    <w:next w:val="Normal"/>
    <w:autoRedefine/>
    <w:uiPriority w:val="39"/>
    <w:unhideWhenUsed/>
    <w:rsid w:val="00DB78B6"/>
    <w:pPr>
      <w:ind w:left="800"/>
    </w:pPr>
    <w:rPr>
      <w:rFonts w:asciiTheme="minorHAnsi" w:hAnsiTheme="minorHAnsi"/>
    </w:rPr>
  </w:style>
  <w:style w:type="paragraph" w:styleId="TDC7">
    <w:name w:val="toc 7"/>
    <w:basedOn w:val="Normal"/>
    <w:next w:val="Normal"/>
    <w:autoRedefine/>
    <w:uiPriority w:val="39"/>
    <w:unhideWhenUsed/>
    <w:rsid w:val="00DB78B6"/>
    <w:pPr>
      <w:ind w:left="1000"/>
    </w:pPr>
    <w:rPr>
      <w:rFonts w:asciiTheme="minorHAnsi" w:hAnsiTheme="minorHAnsi"/>
    </w:rPr>
  </w:style>
  <w:style w:type="paragraph" w:styleId="TDC8">
    <w:name w:val="toc 8"/>
    <w:basedOn w:val="Normal"/>
    <w:next w:val="Normal"/>
    <w:autoRedefine/>
    <w:uiPriority w:val="39"/>
    <w:unhideWhenUsed/>
    <w:rsid w:val="00DB78B6"/>
    <w:pPr>
      <w:ind w:left="1200"/>
    </w:pPr>
    <w:rPr>
      <w:rFonts w:asciiTheme="minorHAnsi" w:hAnsiTheme="minorHAnsi"/>
    </w:rPr>
  </w:style>
  <w:style w:type="paragraph" w:styleId="TDC9">
    <w:name w:val="toc 9"/>
    <w:basedOn w:val="Normal"/>
    <w:next w:val="Normal"/>
    <w:autoRedefine/>
    <w:uiPriority w:val="39"/>
    <w:unhideWhenUsed/>
    <w:rsid w:val="00DB78B6"/>
    <w:pPr>
      <w:ind w:left="1400"/>
    </w:pPr>
    <w:rPr>
      <w:rFonts w:asciiTheme="minorHAnsi" w:hAnsiTheme="minorHAnsi"/>
    </w:rPr>
  </w:style>
  <w:style w:type="character" w:styleId="Mencinsinresolver">
    <w:name w:val="Unresolved Mention"/>
    <w:basedOn w:val="Fuentedeprrafopredeter"/>
    <w:uiPriority w:val="99"/>
    <w:semiHidden/>
    <w:unhideWhenUsed/>
    <w:rsid w:val="004A55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8087">
      <w:bodyDiv w:val="1"/>
      <w:marLeft w:val="0"/>
      <w:marRight w:val="0"/>
      <w:marTop w:val="0"/>
      <w:marBottom w:val="0"/>
      <w:divBdr>
        <w:top w:val="none" w:sz="0" w:space="0" w:color="auto"/>
        <w:left w:val="none" w:sz="0" w:space="0" w:color="auto"/>
        <w:bottom w:val="none" w:sz="0" w:space="0" w:color="auto"/>
        <w:right w:val="none" w:sz="0" w:space="0" w:color="auto"/>
      </w:divBdr>
    </w:div>
    <w:div w:id="394861210">
      <w:bodyDiv w:val="1"/>
      <w:marLeft w:val="0"/>
      <w:marRight w:val="0"/>
      <w:marTop w:val="0"/>
      <w:marBottom w:val="0"/>
      <w:divBdr>
        <w:top w:val="none" w:sz="0" w:space="0" w:color="auto"/>
        <w:left w:val="none" w:sz="0" w:space="0" w:color="auto"/>
        <w:bottom w:val="none" w:sz="0" w:space="0" w:color="auto"/>
        <w:right w:val="none" w:sz="0" w:space="0" w:color="auto"/>
      </w:divBdr>
    </w:div>
    <w:div w:id="493110796">
      <w:bodyDiv w:val="1"/>
      <w:marLeft w:val="0"/>
      <w:marRight w:val="0"/>
      <w:marTop w:val="0"/>
      <w:marBottom w:val="0"/>
      <w:divBdr>
        <w:top w:val="none" w:sz="0" w:space="0" w:color="auto"/>
        <w:left w:val="none" w:sz="0" w:space="0" w:color="auto"/>
        <w:bottom w:val="none" w:sz="0" w:space="0" w:color="auto"/>
        <w:right w:val="none" w:sz="0" w:space="0" w:color="auto"/>
      </w:divBdr>
    </w:div>
    <w:div w:id="1772899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D61F-E06D-BE45-8431-ADB2BDDE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2063</Words>
  <Characters>11350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PUCP</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Borasino Sambrailo</dc:creator>
  <cp:keywords/>
  <dc:description/>
  <cp:lastModifiedBy>Usuario de Microsoft Office</cp:lastModifiedBy>
  <cp:revision>2</cp:revision>
  <cp:lastPrinted>2018-06-25T16:50:00Z</cp:lastPrinted>
  <dcterms:created xsi:type="dcterms:W3CDTF">2018-10-05T04:05:00Z</dcterms:created>
  <dcterms:modified xsi:type="dcterms:W3CDTF">2018-10-05T04:05:00Z</dcterms:modified>
</cp:coreProperties>
</file>